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94" w:rsidRPr="00FC3DE7" w:rsidRDefault="00FC4B94" w:rsidP="00FC4B94">
      <w:pPr>
        <w:spacing w:after="0" w:line="276" w:lineRule="auto"/>
        <w:jc w:val="right"/>
        <w:rPr>
          <w:rFonts w:ascii="Times New Roman" w:hAnsi="Times New Roman" w:cs="Times New Roman"/>
          <w:b/>
          <w:sz w:val="24"/>
          <w:szCs w:val="24"/>
        </w:rPr>
      </w:pPr>
      <w:r w:rsidRPr="00FC3DE7">
        <w:rPr>
          <w:rFonts w:ascii="Times New Roman" w:hAnsi="Times New Roman" w:cs="Times New Roman"/>
          <w:b/>
          <w:sz w:val="24"/>
          <w:szCs w:val="24"/>
        </w:rPr>
        <w:t>ZAŁĄCZNIK NR 2 DO SIWZ</w:t>
      </w: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line="276" w:lineRule="auto"/>
        <w:jc w:val="center"/>
        <w:rPr>
          <w:rFonts w:ascii="Times New Roman" w:hAnsi="Times New Roman" w:cs="Times New Roman"/>
          <w:b/>
        </w:rPr>
      </w:pPr>
      <w:r w:rsidRPr="00FC3DE7">
        <w:rPr>
          <w:rFonts w:ascii="Times New Roman" w:hAnsi="Times New Roman" w:cs="Times New Roman"/>
          <w:b/>
        </w:rPr>
        <w:t>OPIS  PRZEDMIOTU ZAMÓWIENIA</w:t>
      </w:r>
    </w:p>
    <w:p w:rsidR="00FC4B94" w:rsidRPr="00FC3DE7" w:rsidRDefault="005765B7" w:rsidP="00FC4B94">
      <w:pPr>
        <w:spacing w:line="276" w:lineRule="auto"/>
        <w:jc w:val="center"/>
        <w:rPr>
          <w:rFonts w:ascii="Times New Roman" w:eastAsia="ArialNarrow" w:hAnsi="Times New Roman" w:cs="Times New Roman"/>
          <w:b/>
          <w:bCs/>
        </w:rPr>
      </w:pPr>
      <w:r>
        <w:rPr>
          <w:rFonts w:ascii="Times New Roman" w:eastAsia="ArialNarrow" w:hAnsi="Times New Roman" w:cs="Times New Roman"/>
          <w:b/>
          <w:bCs/>
        </w:rPr>
        <w:t>ZAKUP ŚREDNIEGO SAMOCHODU RATOWNICZO-GAŚNICZEGO</w:t>
      </w:r>
    </w:p>
    <w:p w:rsidR="00FC4B94" w:rsidRPr="00FC3DE7" w:rsidRDefault="00FC4B94" w:rsidP="00FC4B94">
      <w:pPr>
        <w:spacing w:line="276" w:lineRule="auto"/>
        <w:rPr>
          <w:rFonts w:ascii="Times New Roman" w:hAnsi="Times New Roman" w:cs="Times New Roman"/>
        </w:rPr>
      </w:pPr>
    </w:p>
    <w:tbl>
      <w:tblPr>
        <w:tblW w:w="10803" w:type="dxa"/>
        <w:tblInd w:w="-156" w:type="dxa"/>
        <w:tblBorders>
          <w:top w:val="single" w:sz="12" w:space="0" w:color="00000A"/>
          <w:left w:val="single" w:sz="12" w:space="0" w:color="00000A"/>
          <w:bottom w:val="single" w:sz="12" w:space="0" w:color="00000A"/>
          <w:right w:val="single" w:sz="6" w:space="0" w:color="00000A"/>
          <w:insideH w:val="single" w:sz="12" w:space="0" w:color="00000A"/>
          <w:insideV w:val="single" w:sz="6" w:space="0" w:color="00000A"/>
        </w:tblBorders>
        <w:tblCellMar>
          <w:left w:w="-15" w:type="dxa"/>
          <w:right w:w="70" w:type="dxa"/>
        </w:tblCellMar>
        <w:tblLook w:val="0000"/>
      </w:tblPr>
      <w:tblGrid>
        <w:gridCol w:w="662"/>
        <w:gridCol w:w="5605"/>
        <w:gridCol w:w="4536"/>
      </w:tblGrid>
      <w:tr w:rsidR="00FC4B94" w:rsidRPr="00FC3DE7" w:rsidTr="00FC4B94">
        <w:tc>
          <w:tcPr>
            <w:tcW w:w="662" w:type="dxa"/>
            <w:tcBorders>
              <w:top w:val="single" w:sz="12" w:space="0" w:color="00000A"/>
              <w:left w:val="single" w:sz="12" w:space="0" w:color="00000A"/>
              <w:bottom w:val="single" w:sz="12" w:space="0" w:color="00000A"/>
              <w:right w:val="single" w:sz="6" w:space="0" w:color="00000A"/>
            </w:tcBorders>
            <w:shd w:val="clear" w:color="auto" w:fill="E6E6E6"/>
            <w:tcMar>
              <w:left w:w="-15" w:type="dxa"/>
            </w:tcMar>
            <w:vAlign w:val="cente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rPr>
            </w:pPr>
            <w:r w:rsidRPr="00FC3DE7">
              <w:rPr>
                <w:rFonts w:ascii="Times New Roman" w:hAnsi="Times New Roman" w:cs="Times New Roman"/>
                <w:b/>
              </w:rPr>
              <w:t>L.p.</w:t>
            </w:r>
          </w:p>
        </w:tc>
        <w:tc>
          <w:tcPr>
            <w:tcW w:w="5605" w:type="dxa"/>
            <w:tcBorders>
              <w:top w:val="single" w:sz="12" w:space="0" w:color="00000A"/>
              <w:left w:val="single" w:sz="6" w:space="0" w:color="00000A"/>
              <w:bottom w:val="single" w:sz="12" w:space="0" w:color="00000A"/>
              <w:right w:val="single" w:sz="6" w:space="0" w:color="00000A"/>
            </w:tcBorders>
            <w:shd w:val="clear" w:color="auto" w:fill="E6E6E6"/>
            <w:tcMar>
              <w:left w:w="-7" w:type="dxa"/>
            </w:tcMar>
            <w:vAlign w:val="cente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sz w:val="28"/>
                <w:szCs w:val="28"/>
              </w:rPr>
            </w:pPr>
            <w:r w:rsidRPr="00FC3DE7">
              <w:rPr>
                <w:rFonts w:ascii="Times New Roman" w:hAnsi="Times New Roman" w:cs="Times New Roman"/>
                <w:b/>
                <w:sz w:val="28"/>
                <w:szCs w:val="28"/>
              </w:rPr>
              <w:t>Wyszczególnienie</w:t>
            </w:r>
          </w:p>
        </w:tc>
        <w:tc>
          <w:tcPr>
            <w:tcW w:w="4536" w:type="dxa"/>
            <w:vMerge w:val="restart"/>
            <w:tcBorders>
              <w:top w:val="single" w:sz="12" w:space="0" w:color="00000A"/>
              <w:left w:val="single" w:sz="6" w:space="0" w:color="00000A"/>
              <w:right w:val="single" w:sz="6" w:space="0" w:color="00000A"/>
            </w:tcBorders>
            <w:shd w:val="clear" w:color="auto" w:fill="E6E6E6"/>
          </w:tcPr>
          <w:p w:rsidR="00FC4B94" w:rsidRPr="00B722D2"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sz w:val="24"/>
                <w:szCs w:val="24"/>
              </w:rPr>
            </w:pPr>
            <w:r w:rsidRPr="00B722D2">
              <w:rPr>
                <w:rFonts w:ascii="Times New Roman" w:hAnsi="Times New Roman" w:cs="Times New Roman"/>
                <w:b/>
                <w:sz w:val="24"/>
                <w:szCs w:val="24"/>
              </w:rPr>
              <w:t>Wartość parametru oferowanego pojazdu (wpisać parametr, rozwiązanie techniczne, lub spełnia/nie spełnia)</w:t>
            </w:r>
          </w:p>
        </w:tc>
      </w:tr>
      <w:tr w:rsidR="00FC4B94" w:rsidRPr="00FC3DE7" w:rsidTr="00FC4B94">
        <w:tc>
          <w:tcPr>
            <w:tcW w:w="662" w:type="dxa"/>
            <w:tcBorders>
              <w:top w:val="single" w:sz="12" w:space="0" w:color="00000A"/>
              <w:left w:val="single" w:sz="6" w:space="0" w:color="00000A"/>
              <w:bottom w:val="single" w:sz="6" w:space="0" w:color="00000A"/>
              <w:right w:val="single" w:sz="6" w:space="0" w:color="00000A"/>
            </w:tcBorders>
            <w:shd w:val="clear" w:color="auto" w:fill="E6E6E6"/>
            <w:tcMar>
              <w:left w:w="-7" w:type="dxa"/>
            </w:tcMar>
            <w:vAlign w:val="cente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rPr>
            </w:pPr>
            <w:r w:rsidRPr="00FC3DE7">
              <w:rPr>
                <w:rFonts w:ascii="Times New Roman" w:hAnsi="Times New Roman" w:cs="Times New Roman"/>
                <w:b/>
              </w:rPr>
              <w:t>1</w:t>
            </w:r>
          </w:p>
        </w:tc>
        <w:tc>
          <w:tcPr>
            <w:tcW w:w="5605" w:type="dxa"/>
            <w:tcBorders>
              <w:top w:val="single" w:sz="12" w:space="0" w:color="00000A"/>
              <w:left w:val="single" w:sz="6" w:space="0" w:color="00000A"/>
              <w:bottom w:val="single" w:sz="6" w:space="0" w:color="00000A"/>
              <w:right w:val="single" w:sz="6" w:space="0" w:color="00000A"/>
            </w:tcBorders>
            <w:shd w:val="clear" w:color="auto" w:fill="E6E6E6"/>
            <w:tcMar>
              <w:left w:w="-7" w:type="dxa"/>
            </w:tcMar>
            <w:vAlign w:val="center"/>
          </w:tcPr>
          <w:p w:rsidR="00FC4B94" w:rsidRPr="00FC3DE7" w:rsidRDefault="00FC4B94" w:rsidP="002E574C">
            <w:pPr>
              <w:suppressAutoHyphens/>
              <w:spacing w:line="240" w:lineRule="atLeast"/>
              <w:jc w:val="center"/>
              <w:rPr>
                <w:rFonts w:ascii="Times New Roman" w:hAnsi="Times New Roman" w:cs="Times New Roman"/>
                <w:b/>
                <w:sz w:val="28"/>
                <w:szCs w:val="28"/>
              </w:rPr>
            </w:pPr>
            <w:r w:rsidRPr="00FC3DE7">
              <w:rPr>
                <w:rFonts w:ascii="Times New Roman" w:hAnsi="Times New Roman" w:cs="Times New Roman"/>
                <w:b/>
                <w:sz w:val="28"/>
                <w:szCs w:val="28"/>
              </w:rPr>
              <w:t>Wymagania minimalne</w:t>
            </w:r>
          </w:p>
        </w:tc>
        <w:tc>
          <w:tcPr>
            <w:tcW w:w="4536" w:type="dxa"/>
            <w:vMerge/>
            <w:tcBorders>
              <w:left w:val="single" w:sz="6" w:space="0" w:color="00000A"/>
              <w:bottom w:val="single" w:sz="6" w:space="0" w:color="00000A"/>
              <w:right w:val="single" w:sz="6" w:space="0" w:color="00000A"/>
            </w:tcBorders>
            <w:shd w:val="clear" w:color="auto" w:fill="E6E6E6"/>
          </w:tcPr>
          <w:p w:rsidR="00FC4B94" w:rsidRPr="00FC3DE7" w:rsidRDefault="00FC4B94" w:rsidP="002E574C">
            <w:pPr>
              <w:suppressAutoHyphens/>
              <w:spacing w:line="240" w:lineRule="atLeast"/>
              <w:jc w:val="center"/>
              <w:rPr>
                <w:rFonts w:ascii="Times New Roman" w:hAnsi="Times New Roman" w:cs="Times New Roman"/>
                <w:b/>
                <w:sz w:val="28"/>
                <w:szCs w:val="28"/>
              </w:rPr>
            </w:pPr>
          </w:p>
        </w:tc>
      </w:tr>
      <w:tr w:rsidR="00FC4B94" w:rsidRPr="00FC3DE7" w:rsidTr="00FC4B94">
        <w:trPr>
          <w:trHeight w:val="4380"/>
        </w:trPr>
        <w:tc>
          <w:tcPr>
            <w:tcW w:w="662" w:type="dxa"/>
            <w:tcBorders>
              <w:top w:val="single" w:sz="6"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1.1.</w:t>
            </w:r>
          </w:p>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p w:rsidR="00FC4B94" w:rsidRPr="00FC3DE7" w:rsidRDefault="00FC4B94" w:rsidP="002E574C">
            <w:pPr>
              <w:tabs>
                <w:tab w:val="left" w:pos="48"/>
                <w:tab w:val="left" w:pos="921"/>
                <w:tab w:val="left" w:pos="6513"/>
                <w:tab w:val="left" w:pos="10395"/>
                <w:tab w:val="left" w:pos="14730"/>
              </w:tabs>
              <w:suppressAutoHyphens/>
              <w:spacing w:line="240" w:lineRule="atLeast"/>
              <w:rPr>
                <w:rFonts w:ascii="Times New Roman" w:hAnsi="Times New Roman" w:cs="Times New Roman"/>
                <w:sz w:val="24"/>
                <w:szCs w:val="24"/>
              </w:rPr>
            </w:pPr>
          </w:p>
        </w:tc>
        <w:tc>
          <w:tcPr>
            <w:tcW w:w="5605" w:type="dxa"/>
            <w:tcBorders>
              <w:top w:val="single" w:sz="6"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pBdr>
                <w:bottom w:val="single" w:sz="4" w:space="1" w:color="00000A"/>
              </w:pBd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zabudowany i wyposażony musi spełniać wymagania:</w:t>
            </w:r>
          </w:p>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ustawy z dnia 20 czerwca 1997 r. „Prawo o ruchu drogowym”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w:t>
            </w:r>
            <w:r w:rsidR="00E052A2">
              <w:rPr>
                <w:rFonts w:ascii="Times New Roman" w:hAnsi="Times New Roman" w:cs="Times New Roman"/>
                <w:sz w:val="24"/>
                <w:szCs w:val="24"/>
              </w:rPr>
              <w:t xml:space="preserve"> U. z 2018 poz. 1990 z </w:t>
            </w:r>
            <w:proofErr w:type="spellStart"/>
            <w:r w:rsidR="00E052A2">
              <w:rPr>
                <w:rFonts w:ascii="Times New Roman" w:hAnsi="Times New Roman" w:cs="Times New Roman"/>
                <w:sz w:val="24"/>
                <w:szCs w:val="24"/>
              </w:rPr>
              <w:t>późn</w:t>
            </w:r>
            <w:proofErr w:type="spellEnd"/>
            <w:r w:rsidR="00E052A2">
              <w:rPr>
                <w:rFonts w:ascii="Times New Roman" w:hAnsi="Times New Roman" w:cs="Times New Roman"/>
                <w:sz w:val="24"/>
                <w:szCs w:val="24"/>
              </w:rPr>
              <w:t>. zm</w:t>
            </w:r>
            <w:r w:rsidRPr="00FC3DE7">
              <w:rPr>
                <w:rFonts w:ascii="Times New Roman" w:hAnsi="Times New Roman" w:cs="Times New Roman"/>
                <w:sz w:val="24"/>
                <w:szCs w:val="24"/>
              </w:rPr>
              <w:t>.), wraz z przepisami wykonawczymi do ustawy,</w:t>
            </w:r>
          </w:p>
          <w:p w:rsidR="00FC4B94" w:rsidRPr="00FC3DE7" w:rsidRDefault="00FC4B94" w:rsidP="00C3509F">
            <w:pPr>
              <w:pBdr>
                <w:top w:val="single" w:sz="4" w:space="1" w:color="00000A"/>
                <w:bottom w:val="single" w:sz="4" w:space="1" w:color="00000A"/>
              </w:pBdr>
              <w:tabs>
                <w:tab w:val="left" w:pos="312"/>
                <w:tab w:val="left" w:pos="921"/>
                <w:tab w:val="left" w:pos="6513"/>
                <w:tab w:val="left" w:pos="8543"/>
                <w:tab w:val="left" w:pos="14730"/>
              </w:tabs>
              <w:suppressAutoHyphens/>
              <w:spacing w:after="0" w:line="240" w:lineRule="atLeast"/>
              <w:ind w:left="312" w:hanging="312"/>
              <w:jc w:val="both"/>
              <w:rPr>
                <w:rFonts w:ascii="Times New Roman" w:hAnsi="Times New Roman" w:cs="Times New Roman"/>
                <w:sz w:val="24"/>
                <w:szCs w:val="24"/>
              </w:rPr>
            </w:pPr>
            <w:r w:rsidRPr="00FC3DE7">
              <w:rPr>
                <w:rFonts w:ascii="Times New Roman" w:hAnsi="Times New Roman" w:cs="Times New Roman"/>
                <w:sz w:val="24"/>
                <w:szCs w:val="24"/>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FC3DE7">
              <w:rPr>
                <w:rFonts w:ascii="Times New Roman" w:hAnsi="Times New Roman" w:cs="Times New Roman"/>
                <w:sz w:val="24"/>
                <w:szCs w:val="24"/>
              </w:rPr>
              <w:t>późn</w:t>
            </w:r>
            <w:proofErr w:type="spellEnd"/>
            <w:r w:rsidRPr="00FC3DE7">
              <w:rPr>
                <w:rFonts w:ascii="Times New Roman" w:hAnsi="Times New Roman" w:cs="Times New Roman"/>
                <w:sz w:val="24"/>
                <w:szCs w:val="24"/>
              </w:rPr>
              <w:t>. zm.),</w:t>
            </w:r>
          </w:p>
          <w:p w:rsidR="00FC4B94" w:rsidRPr="00FC3DE7" w:rsidRDefault="00FC4B94" w:rsidP="002E574C">
            <w:pPr>
              <w:pBdr>
                <w:bottom w:val="single" w:sz="4" w:space="1" w:color="00000A"/>
              </w:pBd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 Kontrwywiadu wojskowego, Służb Wywiadu Wojskowego, Centralnego Biura Antykorupcyjnego, Straży Granicznej, Służb Ochrony Państwa, Krajowej Administracji Skarbowej, Służby Więziennej i straży pożarnej (Dz. U. z 2019 r., poz. 594),</w:t>
            </w:r>
          </w:p>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norm: PN-EN 1846-1 i PN-EN 1846-2 2 (lub równoważnych).</w:t>
            </w:r>
          </w:p>
        </w:tc>
        <w:tc>
          <w:tcPr>
            <w:tcW w:w="4536" w:type="dxa"/>
            <w:tcBorders>
              <w:top w:val="single" w:sz="6" w:space="0" w:color="00000A"/>
              <w:left w:val="single" w:sz="6" w:space="0" w:color="00000A"/>
              <w:bottom w:val="single" w:sz="4" w:space="0" w:color="00000A"/>
              <w:right w:val="single" w:sz="6" w:space="0" w:color="00000A"/>
            </w:tcBorders>
          </w:tcPr>
          <w:p w:rsidR="00FC4B94" w:rsidRPr="00FC3DE7" w:rsidRDefault="00FC4B94" w:rsidP="002E574C">
            <w:pPr>
              <w:pBdr>
                <w:bottom w:val="single" w:sz="4" w:space="1" w:color="00000A"/>
              </w:pBd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rPr>
          <w:trHeight w:val="1440"/>
        </w:trPr>
        <w:tc>
          <w:tcPr>
            <w:tcW w:w="662"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1.2.</w:t>
            </w:r>
          </w:p>
        </w:tc>
        <w:tc>
          <w:tcPr>
            <w:tcW w:w="560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FC3DE7">
              <w:rPr>
                <w:rFonts w:ascii="Times New Roman" w:hAnsi="Times New Roman" w:cs="Times New Roman"/>
                <w:sz w:val="24"/>
                <w:szCs w:val="24"/>
              </w:rPr>
              <w:t>późn</w:t>
            </w:r>
            <w:proofErr w:type="spellEnd"/>
            <w:r w:rsidRPr="00FC3DE7">
              <w:rPr>
                <w:rFonts w:ascii="Times New Roman" w:hAnsi="Times New Roman" w:cs="Times New Roman"/>
                <w:sz w:val="24"/>
                <w:szCs w:val="24"/>
              </w:rPr>
              <w:t>. zm.),</w:t>
            </w:r>
          </w:p>
        </w:tc>
        <w:tc>
          <w:tcPr>
            <w:tcW w:w="4536" w:type="dxa"/>
            <w:tcBorders>
              <w:top w:val="single" w:sz="4" w:space="0" w:color="00000A"/>
              <w:left w:val="single" w:sz="6" w:space="0" w:color="00000A"/>
              <w:bottom w:val="single" w:sz="4"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rPr>
          <w:trHeight w:val="1095"/>
        </w:trPr>
        <w:tc>
          <w:tcPr>
            <w:tcW w:w="662"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1.3.</w:t>
            </w:r>
          </w:p>
        </w:tc>
        <w:tc>
          <w:tcPr>
            <w:tcW w:w="5605" w:type="dxa"/>
            <w:tcBorders>
              <w:top w:val="single" w:sz="4"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tc>
        <w:tc>
          <w:tcPr>
            <w:tcW w:w="4536" w:type="dxa"/>
            <w:tcBorders>
              <w:top w:val="single" w:sz="4" w:space="0" w:color="00000A"/>
              <w:left w:val="single" w:sz="6" w:space="0" w:color="00000A"/>
              <w:bottom w:val="single" w:sz="4" w:space="0" w:color="00000A"/>
              <w:right w:val="single" w:sz="6" w:space="0" w:color="00000A"/>
            </w:tcBorders>
          </w:tcPr>
          <w:p w:rsidR="00FC4B94"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p w:rsidR="00FC4B94" w:rsidRPr="00FC4B94" w:rsidRDefault="00FC4B94" w:rsidP="00FC4B94">
            <w:pPr>
              <w:rPr>
                <w:rFonts w:ascii="Times New Roman" w:hAnsi="Times New Roman" w:cs="Times New Roman"/>
                <w:sz w:val="24"/>
                <w:szCs w:val="24"/>
              </w:rPr>
            </w:pPr>
          </w:p>
          <w:p w:rsidR="00FC4B94" w:rsidRDefault="00FC4B94" w:rsidP="00FC4B94">
            <w:pPr>
              <w:rPr>
                <w:rFonts w:ascii="Times New Roman" w:hAnsi="Times New Roman" w:cs="Times New Roman"/>
                <w:sz w:val="24"/>
                <w:szCs w:val="24"/>
              </w:rPr>
            </w:pPr>
          </w:p>
          <w:p w:rsidR="00FC4B94" w:rsidRDefault="00FC4B94" w:rsidP="00FC4B94">
            <w:pPr>
              <w:ind w:firstLine="708"/>
              <w:rPr>
                <w:rFonts w:ascii="Times New Roman" w:hAnsi="Times New Roman" w:cs="Times New Roman"/>
                <w:sz w:val="24"/>
                <w:szCs w:val="24"/>
              </w:rPr>
            </w:pPr>
          </w:p>
          <w:p w:rsidR="00FC4B94" w:rsidRDefault="00FC4B94" w:rsidP="00FC4B94">
            <w:pPr>
              <w:ind w:firstLine="708"/>
              <w:rPr>
                <w:rFonts w:ascii="Times New Roman" w:hAnsi="Times New Roman" w:cs="Times New Roman"/>
                <w:sz w:val="24"/>
                <w:szCs w:val="24"/>
              </w:rPr>
            </w:pPr>
          </w:p>
          <w:p w:rsidR="00FC4B94" w:rsidRPr="00FC4B94" w:rsidRDefault="00FC4B94" w:rsidP="00FC4B94">
            <w:pPr>
              <w:ind w:firstLine="708"/>
              <w:rPr>
                <w:rFonts w:ascii="Times New Roman" w:hAnsi="Times New Roman" w:cs="Times New Roman"/>
                <w:sz w:val="24"/>
                <w:szCs w:val="24"/>
              </w:rPr>
            </w:pPr>
          </w:p>
        </w:tc>
      </w:tr>
      <w:tr w:rsidR="00FC4B94" w:rsidRPr="00FC3DE7" w:rsidTr="00FC4B94">
        <w:trPr>
          <w:trHeight w:val="306"/>
        </w:trPr>
        <w:tc>
          <w:tcPr>
            <w:tcW w:w="662" w:type="dxa"/>
            <w:tcBorders>
              <w:top w:val="single" w:sz="4" w:space="0" w:color="00000A"/>
              <w:left w:val="single" w:sz="6" w:space="0" w:color="00000A"/>
              <w:bottom w:val="single" w:sz="4"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sz w:val="24"/>
                <w:szCs w:val="24"/>
              </w:rPr>
            </w:pPr>
            <w:r w:rsidRPr="00FC3DE7">
              <w:rPr>
                <w:rFonts w:ascii="Times New Roman" w:hAnsi="Times New Roman" w:cs="Times New Roman"/>
                <w:b/>
                <w:sz w:val="24"/>
                <w:szCs w:val="24"/>
              </w:rPr>
              <w:t>2.</w:t>
            </w:r>
          </w:p>
        </w:tc>
        <w:tc>
          <w:tcPr>
            <w:tcW w:w="5605" w:type="dxa"/>
            <w:tcBorders>
              <w:top w:val="single" w:sz="4" w:space="0" w:color="00000A"/>
              <w:left w:val="single" w:sz="6" w:space="0" w:color="00000A"/>
              <w:bottom w:val="single" w:sz="4"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sz w:val="24"/>
                <w:szCs w:val="24"/>
              </w:rPr>
            </w:pPr>
            <w:bookmarkStart w:id="0" w:name="_GoBack"/>
            <w:bookmarkEnd w:id="0"/>
            <w:r w:rsidRPr="00FC3DE7">
              <w:rPr>
                <w:rFonts w:ascii="Times New Roman" w:hAnsi="Times New Roman" w:cs="Times New Roman"/>
                <w:b/>
                <w:sz w:val="24"/>
                <w:szCs w:val="24"/>
              </w:rPr>
              <w:t>Podwozie z kabiną:</w:t>
            </w:r>
          </w:p>
        </w:tc>
        <w:tc>
          <w:tcPr>
            <w:tcW w:w="4536" w:type="dxa"/>
            <w:tcBorders>
              <w:top w:val="single" w:sz="4" w:space="0" w:color="00000A"/>
              <w:left w:val="single" w:sz="6" w:space="0" w:color="00000A"/>
              <w:bottom w:val="single" w:sz="4" w:space="0" w:color="00000A"/>
              <w:right w:val="single" w:sz="6" w:space="0" w:color="00000A"/>
            </w:tcBorders>
            <w:shd w:val="clear" w:color="auto" w:fill="D9D9D9" w:themeFill="background1" w:themeFillShade="D9"/>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b/>
                <w:sz w:val="24"/>
                <w:szCs w:val="24"/>
              </w:rPr>
            </w:pPr>
          </w:p>
        </w:tc>
      </w:tr>
      <w:tr w:rsidR="00FC4B94" w:rsidRPr="00FC3DE7" w:rsidTr="00FC4B94">
        <w:tc>
          <w:tcPr>
            <w:tcW w:w="662"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lastRenderedPageBreak/>
              <w:t>2.1.</w:t>
            </w:r>
          </w:p>
        </w:tc>
        <w:tc>
          <w:tcPr>
            <w:tcW w:w="5605"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fabrycznie nowy, silnik i podwozie z kabiną pochodzące od tego samego producenta. Moc min. 290KM.</w:t>
            </w:r>
          </w:p>
        </w:tc>
        <w:tc>
          <w:tcPr>
            <w:tcW w:w="4536" w:type="dxa"/>
            <w:tcBorders>
              <w:top w:val="single" w:sz="4"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musi spełniać wymagania dla klasy średniej M (wg PN-EN 1846-1 lub równoważnej).</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2.3.</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musi spełniać wymagania dla kategorii 2- uterenowionej ( wg PN-EN 1846-1 lub równoważnej).</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2.4.</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right" w:pos="112"/>
                <w:tab w:val="left" w:pos="969"/>
              </w:tabs>
              <w:spacing w:before="48"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right" w:pos="112"/>
                <w:tab w:val="left" w:pos="969"/>
              </w:tabs>
              <w:spacing w:before="48"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2.5.</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Urządzenie sygnalizacyjno -ostrzegawcze świetlne i dźwiękowe pojazdu uprzywilejowanego:</w:t>
            </w:r>
          </w:p>
          <w:p w:rsidR="00FC4B94" w:rsidRPr="00FC3DE7" w:rsidRDefault="00FC4B94" w:rsidP="00FC4B94">
            <w:pPr>
              <w:numPr>
                <w:ilvl w:val="0"/>
                <w:numId w:val="1"/>
              </w:num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belka lub dwie lampy sygnalizacyjne niebieski, wykonane w technologii LED, zamontowane na dachu kabiny kierowcy,</w:t>
            </w:r>
          </w:p>
          <w:p w:rsidR="00FC4B94" w:rsidRPr="00FC3DE7" w:rsidRDefault="00FC4B94" w:rsidP="00FC4B94">
            <w:pPr>
              <w:numPr>
                <w:ilvl w:val="0"/>
                <w:numId w:val="1"/>
              </w:num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co najmniej jedna lampa sygnalizacyjna niebieska, wykonana w technologii LED, zamontowana w tylnej części zabudowy na dachu lub na tylnej ścianie, z możliwością wyłączenia z kabiny kierowcy w przypadku jazdy w kolumnie,</w:t>
            </w:r>
          </w:p>
          <w:p w:rsidR="00FC4B94" w:rsidRPr="00FC3DE7" w:rsidRDefault="00FC4B94" w:rsidP="00FC4B94">
            <w:pPr>
              <w:numPr>
                <w:ilvl w:val="0"/>
                <w:numId w:val="1"/>
              </w:num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dodatkowe dwie lampy sygnalizacyjne niebieskie, wykonane  w technologii LED, zamontowane z przodu pojazdu na wysokości lusterka wstecznego samochodu osobowego,</w:t>
            </w:r>
          </w:p>
          <w:p w:rsidR="00FC4B94" w:rsidRPr="00FC3DE7" w:rsidRDefault="00FC4B94" w:rsidP="00FC4B94">
            <w:pPr>
              <w:numPr>
                <w:ilvl w:val="0"/>
                <w:numId w:val="1"/>
              </w:num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urządzenie dźwiękowe ( min. 3 modulowane tony) wyposażone w funkcję megafonu. Wzmacniacz o mocy min. 100W lub 200W wraz z głośnikiem o mocy min. 100W lub 200W. Miejsce zamocowania sterownika i mikrofonu        w kabinie zapewniające łatwy dostęp dla kierowcy oraz dowódcy. </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2.6.</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Podwozie musi spełniać min. następujące warunki:</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układ jezdny- napęd 4x4, z blokadami mechanizmów różnicowych mostów napędowych. Ogumienie uniwersalne z bieżnikiem dostosowanym do różnych warunków atmosferycznych. Przód- ogumienie pojedyncze, tył- bliźniaki.</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układ hamulcowy wyposażony w system zapobiegania poślizgowi kół podczas hamowania ABS lub równoważny.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12"/>
                <w:tab w:val="left" w:pos="921"/>
                <w:tab w:val="left" w:pos="6513"/>
                <w:tab w:val="left" w:pos="8543"/>
                <w:tab w:val="left" w:pos="14730"/>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2.7</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right" w:pos="280"/>
                <w:tab w:val="left" w:pos="955"/>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wyposażony w tylny zderzak lub urządzenie ochronne, zabezpieczające przed wjechaniem pod niego innego pojazdu.</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right" w:pos="280"/>
                <w:tab w:val="left" w:pos="955"/>
              </w:tab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2.8.</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right" w:pos="280"/>
                <w:tab w:val="left" w:pos="955"/>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Kabina czterodrzwiowa, fabrycznie jednomodułowa, 6- osobowa z układem siedzeń 1+1+4, usytuowanych przodem do kierunku jazdy, zawieszenie kabiny na poduszkach pneumatycznych. </w:t>
            </w:r>
          </w:p>
          <w:p w:rsidR="00FC4B94" w:rsidRPr="00FC3DE7" w:rsidRDefault="00FC4B94" w:rsidP="002E574C">
            <w:pPr>
              <w:tabs>
                <w:tab w:val="right" w:pos="280"/>
                <w:tab w:val="left" w:pos="955"/>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Wszystkie miejsca wyposażone w trzypunktowe bezwładnościowe pasy bezpieczeństwa. Cztery miejsca siedzące dla załogi w tylnym przedziale kabiny, wyposażone w cztery uchwyty uniwersalne dla aparatów powietrznych, pasujące do butki kompozytowych i stalowych (uchwyty z możliwością zakładania aparatów </w:t>
            </w:r>
            <w:r w:rsidRPr="00FC3DE7">
              <w:rPr>
                <w:rFonts w:ascii="Times New Roman" w:hAnsi="Times New Roman" w:cs="Times New Roman"/>
                <w:sz w:val="24"/>
                <w:szCs w:val="24"/>
              </w:rPr>
              <w:lastRenderedPageBreak/>
              <w:t>w pozycji siedzącej). Sposób mocowania winien zapewnić możliwość założenia aparatu bez konieczności wcześniejszego jego wypinania.</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right" w:pos="280"/>
                <w:tab w:val="left" w:pos="955"/>
              </w:tab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lastRenderedPageBreak/>
              <w:t>2.9.</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right" w:pos="-1184"/>
                <w:tab w:val="left" w:pos="259"/>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W kabinie kierowcy zamontowany radiotelefon przewoźny spełniający minimalne wymagania techniczno funkcjonalne określone w załączniku nr 2 do instrukcji stanowiącej załącznik do rozkazu nr 4 Komendanta Głównego PSP z dnia 9 czerwca 2009 r. w sprawie wprowadzenie nowych zasad </w:t>
            </w:r>
            <w:proofErr w:type="spellStart"/>
            <w:r w:rsidRPr="00FC3DE7">
              <w:rPr>
                <w:rFonts w:ascii="Times New Roman" w:hAnsi="Times New Roman" w:cs="Times New Roman"/>
                <w:sz w:val="24"/>
                <w:szCs w:val="24"/>
              </w:rPr>
              <w:t>organizacji</w:t>
            </w:r>
            <w:proofErr w:type="spellEnd"/>
            <w:r w:rsidRPr="00FC3DE7">
              <w:rPr>
                <w:rFonts w:ascii="Times New Roman" w:hAnsi="Times New Roman" w:cs="Times New Roman"/>
                <w:sz w:val="24"/>
                <w:szCs w:val="24"/>
              </w:rPr>
              <w:t xml:space="preserve"> łączności w sieciach radiowych UKF Państwowej Straży Pożarnej (Dz. Urz. KG PSP Nr 1 z 2009 r. poz. 16). Samochód wyposażony w instalację antenową wraz z anteną. Radiotelefon zasilany oddzielną przetwornicą napięcia.</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right" w:pos="-1184"/>
                <w:tab w:val="left" w:pos="259"/>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2.10.</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right" w:pos="-1184"/>
                <w:tab w:val="left" w:pos="259"/>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Maksymalna wysokość całkowita pojazdu nie może przekroczyć 3200 </w:t>
            </w:r>
            <w:proofErr w:type="spellStart"/>
            <w:r w:rsidRPr="00FC3DE7">
              <w:rPr>
                <w:rFonts w:ascii="Times New Roman" w:hAnsi="Times New Roman" w:cs="Times New Roman"/>
                <w:sz w:val="24"/>
                <w:szCs w:val="24"/>
              </w:rPr>
              <w:t>mm</w:t>
            </w:r>
            <w:proofErr w:type="spellEnd"/>
            <w:r w:rsidRPr="00FC3DE7">
              <w:rPr>
                <w:rFonts w:ascii="Times New Roman" w:hAnsi="Times New Roman" w:cs="Times New Roman"/>
                <w:sz w:val="24"/>
                <w:szCs w:val="24"/>
              </w:rPr>
              <w:t>. (</w:t>
            </w:r>
            <w:r w:rsidRPr="00FC3DE7">
              <w:rPr>
                <w:rFonts w:ascii="Times New Roman" w:hAnsi="Times New Roman" w:cs="Times New Roman"/>
                <w:i/>
                <w:iCs/>
                <w:sz w:val="24"/>
                <w:szCs w:val="24"/>
              </w:rPr>
              <w:t>Wysokość określa Zamawiający uwzględniając warunki lokalowe</w:t>
            </w:r>
            <w:r w:rsidRPr="00FC3DE7">
              <w:rPr>
                <w:rFonts w:ascii="Times New Roman" w:hAnsi="Times New Roman" w:cs="Times New Roman"/>
                <w:sz w:val="24"/>
                <w:szCs w:val="24"/>
              </w:rPr>
              <w:t>).</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right" w:pos="-1184"/>
                <w:tab w:val="left" w:pos="259"/>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50"/>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Instalacja elektryczna wyposażona w główny wyłącznik prądu, bez odłączania urządzeń, które wymagają stałego zasilania. </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50"/>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Wylot spalin nie może być skierowany na stanowiska obsługi poszczególnych urządzeń pojazdu.</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2.13.</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wyposażony w standardowe wyposażenie podwozia (klucze do kół, trójkąt itp.).</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2.14.</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Kolor pojazdu:</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nadwozia samochodu- RAL3000,</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żaluzje skrytej w kolorze naturalnego aluminium,</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.błotniki i zderzaki- białe.</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elementy podwozia- czarne</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2.15.</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Instalacja elektryczna w kabinie kierowcy wyposażona w dodatkowe gniazda umożliwiające podłączenie ładowarek do radiotelefonów przenośnych i ładowarek latarek. Rodzaj (typ) oraz ilość gniazd uzgadnia Zamawiający z Wykonawcą.</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2.16.</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wyposażony w hak holowniczy z tyłu pojazdu posiadający homologację lub znak bezpieczeństwa Samochód wyposażony w zaczep holowniczy i szekle z przodu umożliwiające odholowanie pojazdu.</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2.17</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Podwozie pojazdu o wzmocnionym zawieszeniu w związku ze stałym obciążeniem pojazdu.</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b/>
                <w:color w:val="00000A"/>
                <w:sz w:val="24"/>
                <w:szCs w:val="24"/>
              </w:rPr>
              <w:t>3.</w:t>
            </w:r>
          </w:p>
        </w:tc>
        <w:tc>
          <w:tcPr>
            <w:tcW w:w="560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center"/>
              <w:rPr>
                <w:rFonts w:ascii="Times New Roman" w:hAnsi="Times New Roman" w:cs="Times New Roman"/>
                <w:sz w:val="24"/>
                <w:szCs w:val="24"/>
              </w:rPr>
            </w:pPr>
            <w:r w:rsidRPr="00FC3DE7">
              <w:rPr>
                <w:rFonts w:ascii="Times New Roman" w:hAnsi="Times New Roman" w:cs="Times New Roman"/>
                <w:b/>
                <w:color w:val="00000A"/>
                <w:sz w:val="24"/>
                <w:szCs w:val="24"/>
              </w:rPr>
              <w:t>Zabudowa pożarnicza:</w:t>
            </w:r>
          </w:p>
        </w:tc>
        <w:tc>
          <w:tcPr>
            <w:tcW w:w="45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center"/>
              <w:rPr>
                <w:rFonts w:ascii="Times New Roman" w:hAnsi="Times New Roman" w:cs="Times New Roman"/>
                <w:b/>
                <w:color w:val="00000A"/>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Zabudowa wykonana z materiałów odpornych na korozje typu: stal nierdzewna, aluminium, materiały kompozytowe ( wyklucza się inne stale bez względu na rodzaj zabezpieczenia antykorozyjnego). Poszycia zewnętrzne w całości kompozytowe, wykonane w kolorze  RAL3000 bez użycia lakieru. Ściany zabudowy podwójne. Izolowane termicznie. Wnętrze skrytek- blacha anodowana, prowadnice do pólek wykonane ze stali nierdzewnej, półki wzmocnione poprzez ramkę ze stali nierdzewnej.</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Drabina do wejścia na dach z poręczami w górnej części ułatwiającymi  wejście na dach, umieszczona z tyłu pojazdu. Szczeble w wykonaniu antypoślizgowym.</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lastRenderedPageBreak/>
              <w:t xml:space="preserve">Odległość pierwszego szczebla od podłoża nie przekracza 600 </w:t>
            </w:r>
            <w:proofErr w:type="spellStart"/>
            <w:r w:rsidRPr="00FC3DE7">
              <w:rPr>
                <w:rFonts w:ascii="Times New Roman" w:hAnsi="Times New Roman" w:cs="Times New Roman"/>
                <w:sz w:val="24"/>
                <w:szCs w:val="24"/>
              </w:rPr>
              <w:t>mm</w:t>
            </w:r>
            <w:proofErr w:type="spellEnd"/>
            <w:r w:rsidRPr="00FC3DE7">
              <w:rPr>
                <w:rFonts w:ascii="Times New Roman" w:hAnsi="Times New Roman" w:cs="Times New Roman"/>
                <w:sz w:val="24"/>
                <w:szCs w:val="24"/>
              </w:rPr>
              <w:t>.</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lastRenderedPageBreak/>
              <w:t>3.3</w:t>
            </w:r>
          </w:p>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lang w:eastAsia="ar-SA"/>
              </w:rPr>
            </w:pP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Skrytki na sprzęt i wyposażenie zamykane żaluzjami wodo i pyłoszczelnymi, wspomaganymi systemem sprężynowym i zabezpieczającym przed samoczynnym zamykaniem. Wykonane z materiałów odpornych na korozję. Wyposażone w zamkniecie typu rurkowego lub równoważne, zamki zamykane na klucz, jeden klucz powinien pasować do wszystkich zamków. Wszystkie żaluzje powinny posiadać taśmy ułatwiające zamykanie (wszystkie taśmy zainstalowane po prawej stronie skrytki).</w:t>
            </w:r>
          </w:p>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Zastosowane dodatkowe zabezpieczenie przed samoczynnym otwieraniem skrytek. Dostęp do sprzętu z zachowaniem wymagań ergonomii poprzez zainstalowane podesty robocze o głębokości min. 55 cm na całej długości boku zabudowy. Wszystkie podesty strony lewej i/lub prawej tworzące jedną linię ciągłą po ich otworzeniu.</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3.4.</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Uchwyty, klamki wszystkich urządzeń pojazdu, drzwi żaluzjowych, szuflad, podestów i tac muszą być tak skonstruowane, aby możliwa była ich obsługa w rękawicach.</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3.5.</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Skrytki na sprzęt oraz przedział autopompy muszą być wyposażone w oświetlenie.</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28"/>
                <w:tab w:val="left" w:pos="873"/>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3.6.</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07"/>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Główny wyłącznik oświetlenia skrytek zlokalizowany w kabinie kierowcy.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907"/>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3.7.</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07"/>
                <w:tab w:val="left" w:pos="6498"/>
                <w:tab w:val="left" w:pos="8514"/>
                <w:tab w:val="left" w:pos="14691"/>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Maksymalna wysokość górnej krawędzi półki ( po wysunięciu lub rozłożeniu) lub szuflady położeniu roboczym nie wyżej niż 1850 mm od poziomu terenu. Jeżeli wysokość półki lub szuflady od poziomu gruntu przekracza 1850 mm konieczne jest zainstalowanie podestów umożliwiający łatwy dostęp do sprzętu, przy czym otwarcie lub wysunięcie podestów musi być sygnalizowane w kabinie kierowcy.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907"/>
                <w:tab w:val="left" w:pos="6498"/>
                <w:tab w:val="left" w:pos="8514"/>
                <w:tab w:val="left" w:pos="14691"/>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3.8.</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Powierzchnie platform, podestu roboczego i podłogi kabiny w wykonaniu antypoślizgowym.</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3.9.</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Autopompa dwuzakresowa. Wydajność min. 2500l/min przy ciśnieniu 8 bar i </w:t>
            </w:r>
            <w:proofErr w:type="spellStart"/>
            <w:r w:rsidRPr="00FC3DE7">
              <w:rPr>
                <w:rFonts w:ascii="Times New Roman" w:hAnsi="Times New Roman" w:cs="Times New Roman"/>
                <w:sz w:val="24"/>
                <w:szCs w:val="24"/>
              </w:rPr>
              <w:t>Hgs</w:t>
            </w:r>
            <w:proofErr w:type="spellEnd"/>
            <w:r w:rsidRPr="00FC3DE7">
              <w:rPr>
                <w:rFonts w:ascii="Times New Roman" w:hAnsi="Times New Roman" w:cs="Times New Roman"/>
                <w:sz w:val="24"/>
                <w:szCs w:val="24"/>
              </w:rPr>
              <w:t xml:space="preserve"> 1,5m i min. 250l/min. przy ciśnieniu 40bar.</w:t>
            </w:r>
          </w:p>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Układ posiada możliwość jednoczesnego podania wody i piany do linii tłocznych, działka, szybkiego natarcia.</w:t>
            </w:r>
          </w:p>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Autopompa zlokalizowana z tyłu pojazdu w obudowanym przedziale zamykanym drzwiami żaluzjowymi.</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rPr>
          <w:trHeight w:val="526"/>
        </w:trPr>
        <w:tc>
          <w:tcPr>
            <w:tcW w:w="662" w:type="dxa"/>
            <w:tcBorders>
              <w:top w:val="single" w:sz="6"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3.10.</w:t>
            </w:r>
          </w:p>
        </w:tc>
        <w:tc>
          <w:tcPr>
            <w:tcW w:w="5605" w:type="dxa"/>
            <w:tcBorders>
              <w:top w:val="single" w:sz="6" w:space="0" w:color="00000A"/>
              <w:left w:val="single" w:sz="6" w:space="0" w:color="00000A"/>
              <w:bottom w:val="single" w:sz="4"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Przystawka odbioru mocy przystosowana do długiej pracy z sygnalizacją włączenie w kabinie kierowcy.</w:t>
            </w:r>
          </w:p>
        </w:tc>
        <w:tc>
          <w:tcPr>
            <w:tcW w:w="4536" w:type="dxa"/>
            <w:tcBorders>
              <w:top w:val="single" w:sz="6" w:space="0" w:color="00000A"/>
              <w:left w:val="single" w:sz="6" w:space="0" w:color="00000A"/>
              <w:bottom w:val="single" w:sz="4"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rPr>
          <w:trHeight w:val="548"/>
        </w:trPr>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21"/>
                <w:tab w:val="left" w:pos="6513"/>
                <w:tab w:val="left" w:pos="10395"/>
                <w:tab w:val="left" w:pos="14730"/>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Dozownik środka pianotwórczego, dostosowany do wydajności autopompy, umożliwiający uzyskanie stężeń 3 i 6% w całym zakresie pracy.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3.12.</w:t>
            </w:r>
          </w:p>
        </w:tc>
        <w:tc>
          <w:tcPr>
            <w:tcW w:w="560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rPr>
                <w:rFonts w:ascii="Times New Roman" w:hAnsi="Times New Roman" w:cs="Times New Roman"/>
                <w:sz w:val="24"/>
                <w:szCs w:val="24"/>
              </w:rPr>
            </w:pPr>
            <w:r w:rsidRPr="00FC3DE7">
              <w:rPr>
                <w:rFonts w:ascii="Times New Roman" w:hAnsi="Times New Roman" w:cs="Times New Roman"/>
                <w:sz w:val="24"/>
                <w:szCs w:val="24"/>
              </w:rPr>
              <w:t>Wszystkie elementy układu wodno-pianowego muszą być odporne na korozje i działanie dopuszczonych do stosowania środków pianotwórczych i modyfikatorów.</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hemeFill="background1"/>
          </w:tcPr>
          <w:p w:rsidR="00FC4B94" w:rsidRPr="00FC3DE7" w:rsidRDefault="00FC4B94" w:rsidP="002E574C">
            <w:pPr>
              <w:tabs>
                <w:tab w:val="center" w:pos="451"/>
                <w:tab w:val="left" w:pos="907"/>
                <w:tab w:val="left" w:pos="6499"/>
                <w:tab w:val="left" w:pos="8534"/>
                <w:tab w:val="left" w:pos="14706"/>
              </w:tabs>
              <w:suppressAutoHyphens/>
              <w:spacing w:after="0" w:line="240" w:lineRule="atLeast"/>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3.13.</w:t>
            </w:r>
          </w:p>
        </w:tc>
        <w:tc>
          <w:tcPr>
            <w:tcW w:w="560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rPr>
                <w:rFonts w:ascii="Times New Roman" w:hAnsi="Times New Roman" w:cs="Times New Roman"/>
                <w:sz w:val="24"/>
                <w:szCs w:val="24"/>
              </w:rPr>
            </w:pPr>
            <w:r w:rsidRPr="00FC3DE7">
              <w:rPr>
                <w:rFonts w:ascii="Times New Roman" w:hAnsi="Times New Roman" w:cs="Times New Roman"/>
                <w:sz w:val="24"/>
                <w:szCs w:val="24"/>
              </w:rPr>
              <w:t xml:space="preserve">Konstrukcja układu wodno-pianowego powinna umożliwić jego całkowite odwodnienie przy użyciu </w:t>
            </w:r>
            <w:r w:rsidRPr="00FC3DE7">
              <w:rPr>
                <w:rFonts w:ascii="Times New Roman" w:hAnsi="Times New Roman" w:cs="Times New Roman"/>
                <w:sz w:val="24"/>
                <w:szCs w:val="24"/>
              </w:rPr>
              <w:lastRenderedPageBreak/>
              <w:t>możliwie najmniejszej ilości zaworów.</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hemeFill="background1"/>
          </w:tcPr>
          <w:p w:rsidR="00FC4B94" w:rsidRPr="00FC3DE7" w:rsidRDefault="00FC4B94" w:rsidP="002E574C">
            <w:pPr>
              <w:tabs>
                <w:tab w:val="center" w:pos="451"/>
                <w:tab w:val="left" w:pos="907"/>
                <w:tab w:val="left" w:pos="6499"/>
                <w:tab w:val="left" w:pos="8534"/>
                <w:tab w:val="left" w:pos="14706"/>
              </w:tabs>
              <w:suppressAutoHyphens/>
              <w:spacing w:after="0" w:line="240" w:lineRule="atLeast"/>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lastRenderedPageBreak/>
              <w:t>3.14.</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Przedział autopompy musi być wyposażony w system ogrzewania skutecznie zabezpieczający układ wodno-pianowy przed zamarzaniem w temperaturze do - 25</w:t>
            </w:r>
            <w:r w:rsidRPr="00FC3DE7">
              <w:rPr>
                <w:rFonts w:ascii="Times New Roman" w:hAnsi="Times New Roman" w:cs="Times New Roman"/>
                <w:sz w:val="24"/>
                <w:szCs w:val="24"/>
                <w:vertAlign w:val="superscript"/>
              </w:rPr>
              <w:t>o</w:t>
            </w:r>
            <w:r w:rsidRPr="00FC3DE7">
              <w:rPr>
                <w:rFonts w:ascii="Times New Roman" w:hAnsi="Times New Roman" w:cs="Times New Roman"/>
                <w:sz w:val="24"/>
                <w:szCs w:val="24"/>
              </w:rPr>
              <w:t>C.</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3.15.</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W przypadku umieszczenia w przedziale autopompy wyłącznika do uruchamia silnika samochodu, uruchomienie silnika powinno być możliwe tylko dla neutralnego położenia dźwigni </w:t>
            </w:r>
            <w:proofErr w:type="spellStart"/>
            <w:r w:rsidRPr="00FC3DE7">
              <w:rPr>
                <w:rFonts w:ascii="Times New Roman" w:hAnsi="Times New Roman" w:cs="Times New Roman"/>
                <w:sz w:val="24"/>
                <w:szCs w:val="24"/>
              </w:rPr>
              <w:t>zmiany</w:t>
            </w:r>
            <w:proofErr w:type="spellEnd"/>
            <w:r w:rsidRPr="00FC3DE7">
              <w:rPr>
                <w:rFonts w:ascii="Times New Roman" w:hAnsi="Times New Roman" w:cs="Times New Roman"/>
                <w:sz w:val="24"/>
                <w:szCs w:val="24"/>
              </w:rPr>
              <w:t xml:space="preserve"> biegów.</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3.16.</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Na wylocie ssawnym autopompy musi być zamontowany element zabezpieczający przed przedostaniem się do pompy zanieczyszczeń stałych zarówno przy ssaniu ze zbiornika zewnętrznego jak i dla zbiornika własnego pojazdu, gwarantujący bezpieczną eksploatacje pompy.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3.17.</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Zbiornik wody o pojemności nominalnej min. 3,5m</w:t>
            </w:r>
            <w:r w:rsidRPr="00FC3DE7">
              <w:rPr>
                <w:rFonts w:ascii="Times New Roman" w:hAnsi="Times New Roman" w:cs="Times New Roman"/>
                <w:sz w:val="24"/>
                <w:szCs w:val="24"/>
                <w:vertAlign w:val="superscript"/>
              </w:rPr>
              <w:t>3</w:t>
            </w:r>
            <w:r w:rsidRPr="00FC3DE7">
              <w:rPr>
                <w:rFonts w:ascii="Times New Roman" w:hAnsi="Times New Roman" w:cs="Times New Roman"/>
                <w:sz w:val="24"/>
                <w:szCs w:val="24"/>
              </w:rPr>
              <w:t xml:space="preserve"> (dopuszcza się tolerancje wykonania zbiornika  w stosunku do pojemności nominalnej±5%). Układ napełniania zbiornika z automatycznym zaworem odcinającym z możliwością ręcznego przesterowania zaworu odcinającego w celu dopełnienia zbiornika.</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center" w:pos="451"/>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3.18.</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Zbiornik na środek pianotwórczy o pojemności min. 10% pojemności zbiornika wody, odporny na działanie środków pianotwórczych i modyfikatorów.</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907"/>
                <w:tab w:val="left" w:pos="6499"/>
                <w:tab w:val="left" w:pos="8534"/>
                <w:tab w:val="left" w:pos="14706"/>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3.19.</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wyposażony w instalacje napełniania zbiornika wody z hydrantu, wyposażoną w co najmniej jedną nasadę W75 z zaworem kulowym. Nasada(y)winny posiadać zabezpieczenia chroniące przed dostaniem się zanieczyszczeń stałych.</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3.20.</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26"/>
                <w:tab w:val="left" w:pos="907"/>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musi być wyposażony w co najmniej jedną wysokociśnieniową linie szybkiego natarcia długości węża minimum 60m na zwijadle zakończoną prądownicą.</w:t>
            </w:r>
          </w:p>
          <w:p w:rsidR="00FC4B94" w:rsidRPr="00FC3DE7" w:rsidRDefault="00FC4B94" w:rsidP="002E574C">
            <w:pPr>
              <w:tabs>
                <w:tab w:val="left" w:pos="326"/>
                <w:tab w:val="left" w:pos="907"/>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26"/>
                <w:tab w:val="left" w:pos="907"/>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rPr>
          <w:trHeight w:val="345"/>
        </w:trPr>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center" w:pos="451"/>
                <w:tab w:val="left" w:pos="907"/>
                <w:tab w:val="left" w:pos="6499"/>
                <w:tab w:val="left" w:pos="8534"/>
                <w:tab w:val="left" w:pos="14706"/>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3.21.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326"/>
                <w:tab w:val="left" w:pos="907"/>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w:t>
            </w:r>
            <w:r w:rsidRPr="00FC3DE7">
              <w:rPr>
                <w:rFonts w:ascii="Times New Roman" w:hAnsi="Times New Roman" w:cs="Times New Roman"/>
                <w:sz w:val="24"/>
                <w:szCs w:val="24"/>
                <w:vertAlign w:val="superscript"/>
              </w:rPr>
              <w:t>o</w:t>
            </w:r>
            <w:r w:rsidRPr="00FC3DE7">
              <w:rPr>
                <w:rFonts w:ascii="Times New Roman" w:hAnsi="Times New Roman" w:cs="Times New Roman"/>
                <w:sz w:val="24"/>
                <w:szCs w:val="24"/>
              </w:rPr>
              <w:t>. stanowisko obsługi działka oraz dojście do stanowiska musi posiadać oświetlenie nieoślepiające, bez wystających elementów, załączane ze stanowiska obsługi pompy.</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326"/>
                <w:tab w:val="left" w:pos="907"/>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3.22.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Pojazd wyposażony w wysuwany pneumatyczny, obrotowy maszt oświetleniowy, zabudowany na stałe w pojeździe, z reflektorami LED o łącznej wielkości strumienia świetlnego min. 30 000 </w:t>
            </w:r>
            <w:proofErr w:type="spellStart"/>
            <w:r w:rsidRPr="00FC3DE7">
              <w:rPr>
                <w:rFonts w:ascii="Times New Roman" w:hAnsi="Times New Roman" w:cs="Times New Roman"/>
                <w:sz w:val="24"/>
                <w:szCs w:val="24"/>
              </w:rPr>
              <w:t>lm</w:t>
            </w:r>
            <w:proofErr w:type="spellEnd"/>
            <w:r w:rsidRPr="00FC3DE7">
              <w:rPr>
                <w:rFonts w:ascii="Times New Roman" w:hAnsi="Times New Roman" w:cs="Times New Roman"/>
                <w:sz w:val="24"/>
                <w:szCs w:val="24"/>
              </w:rPr>
              <w:t xml:space="preserve">. Wysokość min. 4,5m od podłoża, na którym stoi pojazd do opraw czołowych reflektorów ustawionych poziomo, z możliwością sterowania reflektorami w pionie i w poziomie. Stopień ochrony masztu i reflektorów min. </w:t>
            </w:r>
            <w:r w:rsidRPr="00FC3DE7">
              <w:rPr>
                <w:rFonts w:ascii="Times New Roman" w:hAnsi="Times New Roman" w:cs="Times New Roman"/>
                <w:sz w:val="24"/>
                <w:szCs w:val="24"/>
              </w:rPr>
              <w:lastRenderedPageBreak/>
              <w:t>IP55</w:t>
            </w:r>
          </w:p>
          <w:p w:rsidR="00FC4B94" w:rsidRPr="00FC3DE7" w:rsidRDefault="00FC4B94" w:rsidP="002E574C">
            <w:pPr>
              <w:tabs>
                <w:tab w:val="left" w:pos="48"/>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xml:space="preserve">Umiejscowienie masztu nie powinno kolidować z działkiem wodno-pianowym, oraz drabiną. Sygnalizacja podniesienia masztu kabinie kierowcy na panelu kontrolnym. </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b/>
                <w:sz w:val="24"/>
                <w:szCs w:val="24"/>
              </w:rPr>
            </w:pPr>
            <w:r w:rsidRPr="00FC3DE7">
              <w:rPr>
                <w:rFonts w:ascii="Times New Roman" w:hAnsi="Times New Roman" w:cs="Times New Roman"/>
                <w:b/>
                <w:sz w:val="24"/>
                <w:szCs w:val="24"/>
              </w:rPr>
              <w:lastRenderedPageBreak/>
              <w:t>4</w:t>
            </w:r>
          </w:p>
        </w:tc>
        <w:tc>
          <w:tcPr>
            <w:tcW w:w="560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center"/>
              <w:rPr>
                <w:rFonts w:ascii="Times New Roman" w:hAnsi="Times New Roman" w:cs="Times New Roman"/>
                <w:sz w:val="24"/>
                <w:szCs w:val="24"/>
              </w:rPr>
            </w:pPr>
            <w:r w:rsidRPr="00FC3DE7">
              <w:rPr>
                <w:rFonts w:ascii="Times New Roman" w:hAnsi="Times New Roman" w:cs="Times New Roman"/>
                <w:b/>
                <w:sz w:val="24"/>
                <w:szCs w:val="24"/>
                <w:shd w:val="clear" w:color="auto" w:fill="D9D9D9"/>
              </w:rPr>
              <w:t>Wyposażenie ratownicze dostarczone przez Wykonawcę wraz z pojazdem.</w:t>
            </w:r>
          </w:p>
        </w:tc>
        <w:tc>
          <w:tcPr>
            <w:tcW w:w="45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center"/>
              <w:rPr>
                <w:rFonts w:ascii="Times New Roman" w:hAnsi="Times New Roman" w:cs="Times New Roman"/>
                <w:b/>
                <w:sz w:val="24"/>
                <w:szCs w:val="24"/>
                <w:shd w:val="clear" w:color="auto" w:fill="D9D9D9"/>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4.1.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Pojazd wyposażony w wyciągarkę elektryczną zamontowaną z przodu, zabezpieczoną obudową kompozytową. Moc min. 5 t.</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67"/>
                <w:tab w:val="left" w:pos="931"/>
                <w:tab w:val="left" w:pos="6571"/>
                <w:tab w:val="left" w:pos="8577"/>
                <w:tab w:val="left" w:pos="14745"/>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4.2..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Skrzynia kompozytowa umieszczana na dachu pojazdu zabudowanego w formie podestu roboczego.</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931"/>
                <w:tab w:val="left" w:pos="6571"/>
                <w:tab w:val="left" w:pos="8577"/>
                <w:tab w:val="left" w:pos="14745"/>
              </w:tab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b/>
                <w:sz w:val="24"/>
                <w:szCs w:val="24"/>
              </w:rPr>
            </w:pPr>
            <w:r w:rsidRPr="00FC3DE7">
              <w:rPr>
                <w:rFonts w:ascii="Times New Roman" w:hAnsi="Times New Roman" w:cs="Times New Roman"/>
                <w:b/>
                <w:sz w:val="24"/>
                <w:szCs w:val="24"/>
              </w:rPr>
              <w:t>5</w:t>
            </w:r>
          </w:p>
        </w:tc>
        <w:tc>
          <w:tcPr>
            <w:tcW w:w="560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7" w:type="dxa"/>
            </w:tcMar>
          </w:tcPr>
          <w:p w:rsidR="00FC4B94" w:rsidRPr="00FC3DE7" w:rsidRDefault="00FC4B94" w:rsidP="002E574C">
            <w:pPr>
              <w:tabs>
                <w:tab w:val="decimal" w:pos="633"/>
                <w:tab w:val="left" w:pos="868"/>
                <w:tab w:val="left" w:pos="6479"/>
                <w:tab w:val="left" w:pos="8504"/>
              </w:tabs>
              <w:suppressAutoHyphens/>
              <w:spacing w:after="0" w:line="240" w:lineRule="atLeast"/>
              <w:jc w:val="center"/>
              <w:rPr>
                <w:rFonts w:ascii="Times New Roman" w:hAnsi="Times New Roman" w:cs="Times New Roman"/>
                <w:b/>
                <w:sz w:val="24"/>
                <w:szCs w:val="24"/>
              </w:rPr>
            </w:pPr>
            <w:r w:rsidRPr="00FC3DE7">
              <w:rPr>
                <w:rFonts w:ascii="Times New Roman" w:hAnsi="Times New Roman" w:cs="Times New Roman"/>
                <w:b/>
                <w:sz w:val="24"/>
                <w:szCs w:val="24"/>
              </w:rPr>
              <w:t>Pozostałe warunki Zamawiającego</w:t>
            </w:r>
          </w:p>
        </w:tc>
        <w:tc>
          <w:tcPr>
            <w:tcW w:w="453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FC4B94" w:rsidRPr="00FC3DE7" w:rsidRDefault="00FC4B94" w:rsidP="002E574C">
            <w:pPr>
              <w:tabs>
                <w:tab w:val="decimal" w:pos="633"/>
                <w:tab w:val="left" w:pos="868"/>
                <w:tab w:val="left" w:pos="6479"/>
                <w:tab w:val="left" w:pos="8504"/>
              </w:tabs>
              <w:suppressAutoHyphens/>
              <w:spacing w:after="0" w:line="240" w:lineRule="atLeast"/>
              <w:jc w:val="center"/>
              <w:rPr>
                <w:rFonts w:ascii="Times New Roman" w:hAnsi="Times New Roman" w:cs="Times New Roman"/>
                <w:b/>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5.1.</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Zamawiający wymaga objęciem pojazdu minimalnym okresem gwarancji- 24 miesiące.</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5.2.</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868"/>
                <w:tab w:val="left" w:pos="6479"/>
                <w:tab w:val="left" w:pos="8504"/>
              </w:tabs>
              <w:suppressAutoHyphen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Minimum jeden punkt serwisowy podwozia (podać adres serwisu podwozia najbliższy siedzibie Zamawiającego).</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48"/>
                <w:tab w:val="left" w:pos="868"/>
                <w:tab w:val="left" w:pos="6479"/>
                <w:tab w:val="left" w:pos="8504"/>
              </w:tabs>
              <w:suppressAutoHyphens/>
              <w:spacing w:after="0" w:line="240" w:lineRule="atLeast"/>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5.3.</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161"/>
                <w:tab w:val="left" w:pos="6479"/>
                <w:tab w:val="left" w:pos="8504"/>
              </w:tabs>
              <w:spacing w:after="0"/>
              <w:jc w:val="both"/>
              <w:rPr>
                <w:rFonts w:ascii="Times New Roman" w:hAnsi="Times New Roman" w:cs="Times New Roman"/>
                <w:sz w:val="24"/>
                <w:szCs w:val="24"/>
              </w:rPr>
            </w:pPr>
            <w:r w:rsidRPr="00FC3DE7">
              <w:rPr>
                <w:rFonts w:ascii="Times New Roman" w:hAnsi="Times New Roman" w:cs="Times New Roman"/>
                <w:sz w:val="24"/>
                <w:szCs w:val="24"/>
              </w:rPr>
              <w:t>Minimum jeden punkt serwisowy nadwozia (podać adres serwisu nadwozia najbliższy siedzibie Zamawiającego).</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left" w:pos="161"/>
                <w:tab w:val="left" w:pos="6479"/>
                <w:tab w:val="left" w:pos="8504"/>
              </w:tabs>
              <w:spacing w:after="0"/>
              <w:jc w:val="both"/>
              <w:rPr>
                <w:rFonts w:ascii="Times New Roman" w:hAnsi="Times New Roman" w:cs="Times New Roman"/>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5.4.</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33"/>
                <w:tab w:val="left" w:pos="868"/>
                <w:tab w:val="left" w:pos="6479"/>
                <w:tab w:val="left" w:pos="8504"/>
              </w:tabs>
              <w:suppressAutoHyphens/>
              <w:spacing w:after="0" w:line="240" w:lineRule="atLeast"/>
              <w:jc w:val="both"/>
              <w:rPr>
                <w:rFonts w:ascii="Times New Roman" w:hAnsi="Times New Roman" w:cs="Times New Roman"/>
                <w:sz w:val="24"/>
                <w:szCs w:val="24"/>
              </w:rPr>
            </w:pPr>
            <w:r w:rsidRPr="00FC3DE7">
              <w:rPr>
                <w:rFonts w:ascii="Times New Roman" w:eastAsia="BookAntiqua" w:hAnsi="Times New Roman" w:cs="Times New Roman"/>
                <w:bCs/>
                <w:sz w:val="24"/>
                <w:szCs w:val="24"/>
              </w:rPr>
              <w:t>Wykonanie napisów</w:t>
            </w:r>
            <w:r w:rsidRPr="00FC3DE7">
              <w:rPr>
                <w:rFonts w:ascii="Times New Roman" w:eastAsia="BookAntiqua" w:hAnsi="Times New Roman" w:cs="Times New Roman"/>
                <w:sz w:val="24"/>
                <w:szCs w:val="24"/>
              </w:rPr>
              <w:t xml:space="preserve"> na drzwiach kabiny kierowcy - OSP + nazwa, oraz oznakowania numerami operacyjnymi zgodnie z obowiązującymi wymogami KG PSP</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33"/>
                <w:tab w:val="left" w:pos="868"/>
                <w:tab w:val="left" w:pos="6479"/>
                <w:tab w:val="left" w:pos="8504"/>
              </w:tabs>
              <w:suppressAutoHyphens/>
              <w:spacing w:after="0" w:line="240" w:lineRule="atLeast"/>
              <w:jc w:val="both"/>
              <w:rPr>
                <w:rFonts w:ascii="Times New Roman" w:eastAsia="BookAntiqua" w:hAnsi="Times New Roman" w:cs="Times New Roman"/>
                <w:bCs/>
                <w:sz w:val="24"/>
                <w:szCs w:val="24"/>
              </w:rPr>
            </w:pPr>
          </w:p>
        </w:tc>
      </w:tr>
      <w:tr w:rsidR="00FC4B94" w:rsidRPr="00FC3DE7" w:rsidTr="00FC4B94">
        <w:tc>
          <w:tcPr>
            <w:tcW w:w="66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left" w:pos="48"/>
                <w:tab w:val="left" w:pos="931"/>
                <w:tab w:val="left" w:pos="6571"/>
                <w:tab w:val="left" w:pos="8577"/>
                <w:tab w:val="left" w:pos="14745"/>
              </w:tabs>
              <w:suppressAutoHyphens/>
              <w:spacing w:line="240" w:lineRule="atLeast"/>
              <w:jc w:val="center"/>
              <w:rPr>
                <w:rFonts w:ascii="Times New Roman" w:hAnsi="Times New Roman" w:cs="Times New Roman"/>
                <w:sz w:val="24"/>
                <w:szCs w:val="24"/>
              </w:rPr>
            </w:pPr>
            <w:r w:rsidRPr="00FC3DE7">
              <w:rPr>
                <w:rFonts w:ascii="Times New Roman" w:hAnsi="Times New Roman" w:cs="Times New Roman"/>
                <w:sz w:val="24"/>
                <w:szCs w:val="24"/>
              </w:rPr>
              <w:t>5.5.</w:t>
            </w:r>
          </w:p>
        </w:tc>
        <w:tc>
          <w:tcPr>
            <w:tcW w:w="560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C4B94" w:rsidRPr="00FC3DE7" w:rsidRDefault="00FC4B94" w:rsidP="002E574C">
            <w:pPr>
              <w:tabs>
                <w:tab w:val="decimal" w:pos="657"/>
                <w:tab w:val="left" w:pos="902"/>
                <w:tab w:val="left" w:pos="6542"/>
                <w:tab w:val="left" w:pos="8548"/>
                <w:tab w:val="left" w:pos="14720"/>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Wykonawca obowiązany jest do dostarczenia wraz z pojazdem:</w:t>
            </w:r>
          </w:p>
          <w:p w:rsidR="00FC4B94" w:rsidRPr="00FC3DE7" w:rsidRDefault="00FC4B94" w:rsidP="002E574C">
            <w:pPr>
              <w:tabs>
                <w:tab w:val="decimal" w:pos="657"/>
                <w:tab w:val="left" w:pos="902"/>
                <w:tab w:val="left" w:pos="6542"/>
                <w:tab w:val="left" w:pos="8548"/>
                <w:tab w:val="left" w:pos="14720"/>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instrukcji obsługi w języku polskim do podwozia samochodu, zabudowy pożarniczej i zainstalowanych urządzeń i wyposażenia,</w:t>
            </w:r>
          </w:p>
          <w:p w:rsidR="00FC4B94" w:rsidRPr="00FC3DE7" w:rsidRDefault="00FC4B94" w:rsidP="002E574C">
            <w:pPr>
              <w:tabs>
                <w:tab w:val="decimal" w:pos="657"/>
                <w:tab w:val="left" w:pos="902"/>
                <w:tab w:val="left" w:pos="6542"/>
                <w:tab w:val="left" w:pos="8548"/>
                <w:tab w:val="left" w:pos="14720"/>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aktualne świadectwo dopuszczenia, świadectwo dopuszczenia do użytkowania w ochronie przeciwpożarowej dla pojazdu,</w:t>
            </w:r>
          </w:p>
          <w:p w:rsidR="00FC4B94" w:rsidRPr="00FC3DE7" w:rsidRDefault="00FC4B94" w:rsidP="002E574C">
            <w:pPr>
              <w:tabs>
                <w:tab w:val="decimal" w:pos="657"/>
                <w:tab w:val="left" w:pos="902"/>
                <w:tab w:val="left" w:pos="6542"/>
                <w:tab w:val="left" w:pos="8548"/>
                <w:tab w:val="left" w:pos="14720"/>
              </w:tabs>
              <w:spacing w:after="0" w:line="240" w:lineRule="atLeast"/>
              <w:jc w:val="both"/>
              <w:rPr>
                <w:rFonts w:ascii="Times New Roman" w:hAnsi="Times New Roman" w:cs="Times New Roman"/>
                <w:sz w:val="24"/>
                <w:szCs w:val="24"/>
              </w:rPr>
            </w:pPr>
            <w:r w:rsidRPr="00FC3DE7">
              <w:rPr>
                <w:rFonts w:ascii="Times New Roman" w:hAnsi="Times New Roman" w:cs="Times New Roman"/>
                <w:sz w:val="24"/>
                <w:szCs w:val="24"/>
              </w:rPr>
              <w:t>- dokumentacji niezbędnej do zarejestrowania pojazdu jako „samochód specjalny” wynikający z ustawy „Prawo o ruchu drogowym”.</w:t>
            </w:r>
          </w:p>
        </w:tc>
        <w:tc>
          <w:tcPr>
            <w:tcW w:w="4536" w:type="dxa"/>
            <w:tcBorders>
              <w:top w:val="single" w:sz="6" w:space="0" w:color="00000A"/>
              <w:left w:val="single" w:sz="6" w:space="0" w:color="00000A"/>
              <w:bottom w:val="single" w:sz="6" w:space="0" w:color="00000A"/>
              <w:right w:val="single" w:sz="6" w:space="0" w:color="00000A"/>
            </w:tcBorders>
          </w:tcPr>
          <w:p w:rsidR="00FC4B94" w:rsidRPr="00FC3DE7" w:rsidRDefault="00FC4B94" w:rsidP="002E574C">
            <w:pPr>
              <w:tabs>
                <w:tab w:val="decimal" w:pos="657"/>
                <w:tab w:val="left" w:pos="902"/>
                <w:tab w:val="left" w:pos="6542"/>
                <w:tab w:val="left" w:pos="8548"/>
                <w:tab w:val="left" w:pos="14720"/>
              </w:tabs>
              <w:spacing w:after="0" w:line="240" w:lineRule="atLeast"/>
              <w:jc w:val="both"/>
              <w:rPr>
                <w:rFonts w:ascii="Times New Roman" w:hAnsi="Times New Roman" w:cs="Times New Roman"/>
                <w:sz w:val="24"/>
                <w:szCs w:val="24"/>
              </w:rPr>
            </w:pPr>
          </w:p>
        </w:tc>
      </w:tr>
      <w:tr w:rsidR="00FC4B94" w:rsidRPr="00FC3DE7" w:rsidTr="00FC4B94">
        <w:trPr>
          <w:trHeight w:val="296"/>
        </w:trPr>
        <w:tc>
          <w:tcPr>
            <w:tcW w:w="6267" w:type="dxa"/>
            <w:gridSpan w:val="2"/>
            <w:tcBorders>
              <w:top w:val="single" w:sz="6" w:space="0" w:color="00000A"/>
            </w:tcBorders>
            <w:shd w:val="clear" w:color="auto" w:fill="auto"/>
            <w:tcMar>
              <w:left w:w="5" w:type="dxa"/>
            </w:tcMar>
          </w:tcPr>
          <w:p w:rsidR="00FC4B94" w:rsidRPr="00FC3DE7" w:rsidRDefault="00FC4B94" w:rsidP="002E574C">
            <w:pPr>
              <w:tabs>
                <w:tab w:val="left" w:pos="48"/>
                <w:tab w:val="left" w:pos="902"/>
                <w:tab w:val="left" w:pos="6542"/>
                <w:tab w:val="left" w:pos="8548"/>
                <w:tab w:val="left" w:pos="14720"/>
              </w:tabs>
              <w:spacing w:line="240" w:lineRule="atLeast"/>
              <w:ind w:left="720"/>
              <w:jc w:val="both"/>
              <w:rPr>
                <w:rFonts w:ascii="Times New Roman" w:hAnsi="Times New Roman" w:cs="Times New Roman"/>
              </w:rPr>
            </w:pPr>
          </w:p>
        </w:tc>
        <w:tc>
          <w:tcPr>
            <w:tcW w:w="4536" w:type="dxa"/>
            <w:tcBorders>
              <w:top w:val="single" w:sz="6" w:space="0" w:color="00000A"/>
            </w:tcBorders>
          </w:tcPr>
          <w:p w:rsidR="00FC4B94" w:rsidRPr="00FC3DE7" w:rsidRDefault="00FC4B94" w:rsidP="002E574C">
            <w:pPr>
              <w:tabs>
                <w:tab w:val="left" w:pos="48"/>
                <w:tab w:val="left" w:pos="902"/>
                <w:tab w:val="left" w:pos="6542"/>
                <w:tab w:val="left" w:pos="8548"/>
                <w:tab w:val="left" w:pos="14720"/>
              </w:tabs>
              <w:spacing w:line="240" w:lineRule="atLeast"/>
              <w:ind w:left="720"/>
              <w:jc w:val="both"/>
              <w:rPr>
                <w:rFonts w:ascii="Times New Roman" w:hAnsi="Times New Roman" w:cs="Times New Roman"/>
              </w:rPr>
            </w:pPr>
          </w:p>
        </w:tc>
      </w:tr>
    </w:tbl>
    <w:p w:rsidR="00FC4B94" w:rsidRPr="00FC3DE7" w:rsidRDefault="00FC4B94" w:rsidP="00FC4B94">
      <w:pPr>
        <w:rPr>
          <w:rFonts w:ascii="Times New Roman" w:hAnsi="Times New Roman" w:cs="Times New Roman"/>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FC4B94" w:rsidRPr="00FC3DE7" w:rsidRDefault="00FC4B94" w:rsidP="00FC4B94">
      <w:pPr>
        <w:spacing w:after="0" w:line="276" w:lineRule="auto"/>
        <w:jc w:val="center"/>
        <w:rPr>
          <w:rFonts w:ascii="Times New Roman" w:hAnsi="Times New Roman" w:cs="Times New Roman"/>
          <w:b/>
          <w:sz w:val="24"/>
          <w:szCs w:val="24"/>
        </w:rPr>
      </w:pPr>
    </w:p>
    <w:p w:rsidR="00AF1069" w:rsidRDefault="00AF1069"/>
    <w:sectPr w:rsidR="00AF1069" w:rsidSect="00FC4B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Times New Roman"/>
    <w:panose1 w:val="00000000000000000000"/>
    <w:charset w:val="00"/>
    <w:family w:val="roman"/>
    <w:notTrueType/>
    <w:pitch w:val="default"/>
    <w:sig w:usb0="00000000" w:usb1="00000000" w:usb2="00000000" w:usb3="00000000" w:csb0="0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703"/>
    <w:multiLevelType w:val="multilevel"/>
    <w:tmpl w:val="71CE73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C4B94"/>
    <w:rsid w:val="001447BC"/>
    <w:rsid w:val="002C0EA8"/>
    <w:rsid w:val="005765B7"/>
    <w:rsid w:val="00A41FB7"/>
    <w:rsid w:val="00AF1069"/>
    <w:rsid w:val="00C3509F"/>
    <w:rsid w:val="00E052A2"/>
    <w:rsid w:val="00FC4B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B9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1939</Words>
  <Characters>11635</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btatka</dc:creator>
  <cp:lastModifiedBy>btatka</cp:lastModifiedBy>
  <cp:revision>4</cp:revision>
  <dcterms:created xsi:type="dcterms:W3CDTF">2019-10-04T06:47:00Z</dcterms:created>
  <dcterms:modified xsi:type="dcterms:W3CDTF">2019-10-04T12:22:00Z</dcterms:modified>
</cp:coreProperties>
</file>