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3E" w:rsidRPr="00D97AAD" w:rsidRDefault="006A6F3E" w:rsidP="006A6F3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</w:t>
      </w:r>
      <w:r>
        <w:rPr>
          <w:rFonts w:asciiTheme="minorHAnsi" w:hAnsiTheme="minorHAnsi"/>
          <w:b/>
          <w:bCs/>
        </w:rPr>
        <w:t>4</w:t>
      </w:r>
      <w:r w:rsidRPr="00D97AA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do Regulaminu Otwartego Konkursu Ofert</w:t>
      </w:r>
    </w:p>
    <w:p w:rsidR="00F020F4" w:rsidRDefault="00F020F4" w:rsidP="00F020F4">
      <w:pPr>
        <w:tabs>
          <w:tab w:val="left" w:pos="400"/>
        </w:tabs>
        <w:spacing w:line="360" w:lineRule="auto"/>
        <w:jc w:val="center"/>
        <w:rPr>
          <w:b/>
        </w:rPr>
      </w:pPr>
    </w:p>
    <w:p w:rsidR="00F020F4" w:rsidRPr="00CF5742" w:rsidRDefault="00F020F4" w:rsidP="00F020F4">
      <w:pPr>
        <w:tabs>
          <w:tab w:val="left" w:pos="400"/>
        </w:tabs>
        <w:spacing w:line="360" w:lineRule="auto"/>
        <w:jc w:val="center"/>
      </w:pPr>
      <w:r w:rsidRPr="00CF5742">
        <w:rPr>
          <w:b/>
        </w:rPr>
        <w:t>KRYTERIA STOSOWANE PRZY WYBORZE OFERT</w:t>
      </w:r>
    </w:p>
    <w:p w:rsidR="00F020F4" w:rsidRDefault="00F020F4" w:rsidP="00F020F4">
      <w:pPr>
        <w:spacing w:line="360" w:lineRule="auto"/>
        <w:jc w:val="both"/>
      </w:pPr>
    </w:p>
    <w:p w:rsidR="00F020F4" w:rsidRDefault="00F020F4" w:rsidP="00F020F4">
      <w:pPr>
        <w:spacing w:line="360" w:lineRule="auto"/>
        <w:ind w:firstLine="708"/>
        <w:jc w:val="both"/>
      </w:pPr>
      <w:r>
        <w:t xml:space="preserve">Złożone oferty realizacji zadań publicznych poddawane są ocenie formalnej </w:t>
      </w:r>
      <w:r>
        <w:br/>
        <w:t>i merytorycznej, której dokonuje</w:t>
      </w:r>
      <w:r w:rsidRPr="00D84E85">
        <w:t xml:space="preserve"> Komisj</w:t>
      </w:r>
      <w:r>
        <w:t>a</w:t>
      </w:r>
      <w:r w:rsidRPr="00D84E85">
        <w:t xml:space="preserve"> Konkursow</w:t>
      </w:r>
      <w:r>
        <w:t>a</w:t>
      </w:r>
      <w:r w:rsidRPr="00D84E85">
        <w:t xml:space="preserve"> </w:t>
      </w:r>
      <w:r>
        <w:t>powołana przez</w:t>
      </w:r>
      <w:r w:rsidRPr="00D84E85">
        <w:t xml:space="preserve"> Wójt</w:t>
      </w:r>
      <w:r>
        <w:t>a</w:t>
      </w:r>
      <w:r w:rsidRPr="00D84E85">
        <w:t xml:space="preserve"> Gminy </w:t>
      </w:r>
      <w:r>
        <w:br/>
      </w:r>
      <w:r w:rsidRPr="00D84E85">
        <w:t xml:space="preserve">w drodze </w:t>
      </w:r>
      <w:r>
        <w:t xml:space="preserve">odrębnego </w:t>
      </w:r>
      <w:r w:rsidRPr="00D84E85">
        <w:t xml:space="preserve">zarządzenia. </w:t>
      </w:r>
    </w:p>
    <w:p w:rsidR="00F020F4" w:rsidRPr="00F020F4" w:rsidRDefault="00F020F4" w:rsidP="00F020F4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</w:rPr>
      </w:pPr>
      <w:r w:rsidRPr="00F020F4">
        <w:rPr>
          <w:b/>
        </w:rPr>
        <w:t>Ocena formalna</w:t>
      </w:r>
    </w:p>
    <w:p w:rsidR="00F020F4" w:rsidRPr="00541BF9" w:rsidRDefault="00F020F4" w:rsidP="00F020F4">
      <w:pPr>
        <w:tabs>
          <w:tab w:val="left" w:pos="709"/>
        </w:tabs>
        <w:spacing w:line="360" w:lineRule="auto"/>
        <w:jc w:val="both"/>
        <w:rPr>
          <w:b/>
        </w:rPr>
      </w:pPr>
      <w:r w:rsidRPr="00541BF9">
        <w:t>Procedura oceny formalnej ofert jest dokonywana na bieżąco i rozpoczyna się niezwłocznie po wpłynięciu oferty na konkurs. Podczas oceny formalnej, oferty rozpatrywane są według niżej wymienionych kryteriów</w:t>
      </w:r>
      <w:r w:rsidRPr="00541BF9">
        <w:rPr>
          <w:b/>
        </w:rPr>
        <w:t xml:space="preserve">: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</w:pPr>
      <w:r w:rsidRPr="00541BF9">
        <w:t xml:space="preserve">czy oferta została złożona w terminie,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oferta została przygotowana na właściwym formularzu, </w:t>
      </w:r>
    </w:p>
    <w:p w:rsidR="00F020F4" w:rsidRPr="00541BF9" w:rsidRDefault="006A6F3E" w:rsidP="00F020F4">
      <w:pPr>
        <w:numPr>
          <w:ilvl w:val="0"/>
          <w:numId w:val="4"/>
        </w:numPr>
        <w:spacing w:line="360" w:lineRule="auto"/>
        <w:jc w:val="both"/>
      </w:pPr>
      <w:r>
        <w:t>czy oferta jest kompletna,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organizacja jest statutowo uprawniona do ubiegania się o przyznanie dotacji </w:t>
      </w:r>
      <w:r w:rsidR="000E5E5B">
        <w:br/>
      </w:r>
      <w:r w:rsidRPr="00541BF9">
        <w:t xml:space="preserve">w danym zakresie tematycznym,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>czy oferta została podpisana przez osoby upoważnione do zaciągania zo</w:t>
      </w:r>
      <w:r w:rsidR="006A6F3E">
        <w:t xml:space="preserve">bowiązań </w:t>
      </w:r>
      <w:r w:rsidR="00C720DB">
        <w:br/>
      </w:r>
      <w:r w:rsidR="007866FE">
        <w:t>i reprezentowania oferenta</w:t>
      </w:r>
      <w:r w:rsidR="006A6F3E">
        <w:t>,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</w:t>
      </w:r>
      <w:r w:rsidR="00EA0AF1">
        <w:t>okres</w:t>
      </w:r>
      <w:r w:rsidRPr="00541BF9">
        <w:t xml:space="preserve"> realizacji zadania mieści się w </w:t>
      </w:r>
      <w:r>
        <w:t xml:space="preserve">terminie określonym </w:t>
      </w:r>
      <w:r w:rsidRPr="00541BF9">
        <w:t xml:space="preserve">w ogłoszeniu </w:t>
      </w:r>
      <w:r w:rsidR="000E5E5B">
        <w:br/>
      </w:r>
      <w:r w:rsidRPr="00541BF9">
        <w:t xml:space="preserve">o konkursie,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organizacja rozliczyła dotychczas zlecone jej przez Gminę </w:t>
      </w:r>
      <w:r>
        <w:t>Stryszów</w:t>
      </w:r>
      <w:r w:rsidRPr="00541BF9">
        <w:t xml:space="preserve"> zadania,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>czy wszystkie strony oferty są połączone ze sobą i z załącznikami w sposób trwały,</w:t>
      </w:r>
    </w:p>
    <w:p w:rsidR="006A6F3E" w:rsidRPr="00541BF9" w:rsidRDefault="00F020F4" w:rsidP="006A6F3E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przedstawiona kalkulacja planowanych kosztów uwzględnia finansowy wkład własny oferenta, </w:t>
      </w:r>
    </w:p>
    <w:p w:rsidR="00F020F4" w:rsidRDefault="00F020F4" w:rsidP="000E5E5B">
      <w:pPr>
        <w:numPr>
          <w:ilvl w:val="0"/>
          <w:numId w:val="4"/>
        </w:numPr>
        <w:spacing w:line="360" w:lineRule="auto"/>
        <w:jc w:val="both"/>
        <w:rPr>
          <w:iCs/>
        </w:rPr>
      </w:pPr>
      <w:r w:rsidRPr="00541BF9">
        <w:rPr>
          <w:iCs/>
        </w:rPr>
        <w:t>czy przedstawiono informacje na temat pobieran</w:t>
      </w:r>
      <w:r w:rsidR="000E5E5B">
        <w:rPr>
          <w:iCs/>
        </w:rPr>
        <w:t xml:space="preserve">ia opłat od adresatów zadania </w:t>
      </w:r>
      <w:r w:rsidR="000E5E5B">
        <w:rPr>
          <w:iCs/>
        </w:rPr>
        <w:br/>
        <w:t xml:space="preserve">i </w:t>
      </w:r>
      <w:r w:rsidRPr="00541BF9">
        <w:rPr>
          <w:iCs/>
        </w:rPr>
        <w:t>możliwości prowadzenia działal</w:t>
      </w:r>
      <w:r w:rsidR="007866FE">
        <w:rPr>
          <w:iCs/>
        </w:rPr>
        <w:t>ności odpłatnej przez oferenta,</w:t>
      </w:r>
    </w:p>
    <w:p w:rsidR="007866FE" w:rsidRPr="00541BF9" w:rsidRDefault="007866FE" w:rsidP="000E5E5B">
      <w:pPr>
        <w:numPr>
          <w:ilvl w:val="0"/>
          <w:numId w:val="4"/>
        </w:numPr>
        <w:spacing w:line="360" w:lineRule="auto"/>
        <w:jc w:val="both"/>
        <w:rPr>
          <w:iCs/>
        </w:rPr>
      </w:pPr>
      <w:r>
        <w:rPr>
          <w:iCs/>
        </w:rPr>
        <w:t>czy dotychczasowa współpraca gminy z oferentem układała się dobrze (rzetelność, terminowość, sposób rozliczania).</w:t>
      </w:r>
    </w:p>
    <w:p w:rsidR="00F020F4" w:rsidRPr="00541BF9" w:rsidRDefault="00F020F4" w:rsidP="00F020F4">
      <w:pPr>
        <w:tabs>
          <w:tab w:val="left" w:pos="720"/>
        </w:tabs>
        <w:spacing w:line="360" w:lineRule="auto"/>
        <w:jc w:val="both"/>
      </w:pPr>
      <w:r w:rsidRPr="00541BF9">
        <w:t xml:space="preserve"> </w:t>
      </w:r>
    </w:p>
    <w:p w:rsidR="00F020F4" w:rsidRPr="00541BF9" w:rsidRDefault="00F020F4" w:rsidP="00EA0AF1">
      <w:pPr>
        <w:spacing w:line="360" w:lineRule="auto"/>
        <w:ind w:firstLine="708"/>
        <w:jc w:val="both"/>
      </w:pPr>
      <w:r w:rsidRPr="00541BF9">
        <w:t xml:space="preserve">Oferty, które nie spełniają kryteriów oceny formalnej wymienionych w punktach „a” </w:t>
      </w:r>
      <w:r w:rsidR="000E5E5B">
        <w:br/>
      </w:r>
      <w:r w:rsidRPr="00541BF9">
        <w:t xml:space="preserve">i „d”, zostają odrzucone z przyczyn formalnych. </w:t>
      </w:r>
    </w:p>
    <w:p w:rsidR="00F020F4" w:rsidRDefault="00F020F4" w:rsidP="00EA0AF1">
      <w:pPr>
        <w:spacing w:line="360" w:lineRule="auto"/>
        <w:ind w:firstLine="708"/>
        <w:jc w:val="both"/>
        <w:rPr>
          <w:color w:val="0000FF"/>
        </w:rPr>
      </w:pPr>
      <w:r w:rsidRPr="00541BF9">
        <w:t xml:space="preserve">Oferty, które nie spełniają kryteriów oceny formalnej wymienionych w pozostałych punktach mogą zostać uzupełnione/poprawione w </w:t>
      </w:r>
      <w:r w:rsidR="00EA0AF1">
        <w:t xml:space="preserve">trybie pilnym w </w:t>
      </w:r>
      <w:r w:rsidRPr="00541BF9">
        <w:t xml:space="preserve">ciągu </w:t>
      </w:r>
      <w:r w:rsidR="00EA0AF1">
        <w:t>2</w:t>
      </w:r>
      <w:r w:rsidRPr="00541BF9">
        <w:t xml:space="preserve"> dni roboczych od dnia </w:t>
      </w:r>
      <w:r w:rsidR="000E5E5B">
        <w:t>wezwania do uzupełnienia</w:t>
      </w:r>
      <w:r w:rsidRPr="00541BF9">
        <w:t xml:space="preserve">. Jeżeli oferent nie uzupełni/nie poprawi błędów formalnych </w:t>
      </w:r>
      <w:r w:rsidR="00EA0AF1">
        <w:br/>
      </w:r>
      <w:r w:rsidRPr="00541BF9">
        <w:lastRenderedPageBreak/>
        <w:t xml:space="preserve">w </w:t>
      </w:r>
      <w:r w:rsidR="00C720DB">
        <w:t>wyznaczonym terminie</w:t>
      </w:r>
      <w:r w:rsidRPr="00541BF9">
        <w:t>, oferta zostaje odrzucona z przyczyn formalnych. Oferty odrzucone ze względów formalnych nie będą poddawane ocenie merytorycznej.</w:t>
      </w:r>
      <w:r w:rsidRPr="00541BF9">
        <w:rPr>
          <w:color w:val="0000FF"/>
        </w:rPr>
        <w:t xml:space="preserve"> </w:t>
      </w:r>
    </w:p>
    <w:p w:rsidR="000E5E5B" w:rsidRPr="00541BF9" w:rsidRDefault="000E5E5B" w:rsidP="00F020F4">
      <w:pPr>
        <w:spacing w:line="360" w:lineRule="auto"/>
        <w:ind w:firstLine="360"/>
        <w:jc w:val="both"/>
        <w:rPr>
          <w:color w:val="0000FF"/>
        </w:rPr>
      </w:pPr>
    </w:p>
    <w:p w:rsidR="00F020F4" w:rsidRPr="000E5E5B" w:rsidRDefault="000E5E5B" w:rsidP="000E5E5B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</w:rPr>
      </w:pPr>
      <w:r w:rsidRPr="000E5E5B">
        <w:rPr>
          <w:b/>
        </w:rPr>
        <w:t>Ocena merytoryczna</w:t>
      </w:r>
    </w:p>
    <w:p w:rsidR="00F020F4" w:rsidRPr="00541BF9" w:rsidRDefault="00EA0AF1" w:rsidP="00F020F4">
      <w:pPr>
        <w:tabs>
          <w:tab w:val="left" w:pos="400"/>
        </w:tabs>
        <w:spacing w:line="360" w:lineRule="auto"/>
        <w:jc w:val="both"/>
      </w:pPr>
      <w:r>
        <w:tab/>
      </w:r>
      <w:r>
        <w:tab/>
      </w:r>
      <w:r w:rsidR="003C74F0">
        <w:t>Oferta</w:t>
      </w:r>
      <w:r w:rsidR="00F020F4" w:rsidRPr="00541BF9">
        <w:t xml:space="preserve"> </w:t>
      </w:r>
      <w:r w:rsidR="00C720DB">
        <w:t>pozytywnie oceniona pod względem formalnym</w:t>
      </w:r>
      <w:r w:rsidR="00F020F4" w:rsidRPr="00541BF9">
        <w:t xml:space="preserve"> jest poddawana ocenie merytorycznej. </w:t>
      </w:r>
    </w:p>
    <w:p w:rsidR="00F020F4" w:rsidRPr="00541BF9" w:rsidRDefault="00EA0AF1" w:rsidP="00F020F4">
      <w:pPr>
        <w:tabs>
          <w:tab w:val="left" w:pos="400"/>
        </w:tabs>
        <w:spacing w:line="360" w:lineRule="auto"/>
        <w:jc w:val="both"/>
      </w:pPr>
      <w:r>
        <w:tab/>
      </w:r>
      <w:r>
        <w:tab/>
      </w:r>
      <w:r w:rsidR="00F020F4" w:rsidRPr="00541BF9">
        <w:t>Podstawowe kryteria oceny merytorycznej: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zadanie jest merytorycznie zgodne z tematem ogłoszonego konkursu,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zadanie jest ważne dla lokalnej społeczności i odpowiada na zapotrzebowanie społeczne, </w:t>
      </w:r>
      <w:r w:rsidR="00EA0AF1">
        <w:t>(skala działań, ranga zadania),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zaproponowane działania umożliwią zrealizowanie założonego celu, </w:t>
      </w:r>
      <w:r w:rsidR="00EA0AF1">
        <w:t>(realność wykonania zadania),</w:t>
      </w:r>
    </w:p>
    <w:p w:rsidR="00C57875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doświadczenie oferenta w realizacji zadań publicznych,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liczebność odbiorców zadania publicznego,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przedstawione zasoby rzeczowe i kadra są wystarczające do osiągnięcia zamierzonych rezultatów,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przedstawiony projekt może przynieść trwałe rezultaty,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proponowane koszty są adekwatne do proponowanych działań,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>czy kalkulacja kosztów przedstawiona jest w sposób jasny i czytelny,</w:t>
      </w:r>
    </w:p>
    <w:p w:rsidR="00F020F4" w:rsidRPr="00541BF9" w:rsidRDefault="00896212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>
        <w:t>czy</w:t>
      </w:r>
      <w:r w:rsidR="00F020F4" w:rsidRPr="00541BF9">
        <w:t xml:space="preserve"> kalkulacja kosztów </w:t>
      </w:r>
      <w:r w:rsidRPr="00541BF9">
        <w:t xml:space="preserve">jest uzasadniona </w:t>
      </w:r>
      <w:r w:rsidR="00F020F4" w:rsidRPr="00541BF9">
        <w:t>(stawki jednostkowe),</w:t>
      </w:r>
    </w:p>
    <w:p w:rsidR="00F020F4" w:rsidRDefault="00EA0AF1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>
        <w:t>czy oferent zakłada finansowy</w:t>
      </w:r>
      <w:r w:rsidR="00F020F4" w:rsidRPr="00541BF9">
        <w:t xml:space="preserve"> wkład własny </w:t>
      </w:r>
      <w:r>
        <w:t>w realizacji za</w:t>
      </w:r>
      <w:r w:rsidR="00896212">
        <w:t>dania,</w:t>
      </w:r>
    </w:p>
    <w:p w:rsidR="00896212" w:rsidRPr="00541BF9" w:rsidRDefault="00896212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>
        <w:t>czy oferent założył pobieranie opłat od adresatów zadania.</w:t>
      </w:r>
    </w:p>
    <w:p w:rsidR="00F020F4" w:rsidRPr="00CF5742" w:rsidRDefault="00F020F4" w:rsidP="00F020F4">
      <w:pPr>
        <w:tabs>
          <w:tab w:val="left" w:pos="400"/>
        </w:tabs>
        <w:spacing w:line="360" w:lineRule="auto"/>
        <w:jc w:val="both"/>
        <w:rPr>
          <w:color w:val="0000FF"/>
        </w:rPr>
      </w:pPr>
      <w:r w:rsidRPr="00541BF9">
        <w:rPr>
          <w:color w:val="0000FF"/>
        </w:rPr>
        <w:tab/>
      </w:r>
    </w:p>
    <w:p w:rsidR="00F020F4" w:rsidRPr="00CF5742" w:rsidRDefault="00F020F4" w:rsidP="00F020F4">
      <w:pPr>
        <w:pStyle w:val="Tekstpodstawowy"/>
        <w:tabs>
          <w:tab w:val="num" w:pos="400"/>
        </w:tabs>
        <w:suppressAutoHyphens w:val="0"/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CF5742">
        <w:rPr>
          <w:rFonts w:ascii="Times New Roman" w:hAnsi="Times New Roman"/>
          <w:sz w:val="24"/>
          <w:szCs w:val="24"/>
        </w:rPr>
        <w:tab/>
        <w:t xml:space="preserve">Na podstawie liczby punktów </w:t>
      </w:r>
      <w:r w:rsidR="00EA0AF1">
        <w:rPr>
          <w:rFonts w:ascii="Times New Roman" w:hAnsi="Times New Roman"/>
          <w:sz w:val="24"/>
          <w:szCs w:val="24"/>
        </w:rPr>
        <w:t>przyznanych</w:t>
      </w:r>
      <w:r w:rsidRPr="00CF5742">
        <w:rPr>
          <w:rFonts w:ascii="Times New Roman" w:hAnsi="Times New Roman"/>
          <w:sz w:val="24"/>
          <w:szCs w:val="24"/>
        </w:rPr>
        <w:t xml:space="preserve"> </w:t>
      </w:r>
      <w:r w:rsidR="00EA0AF1">
        <w:rPr>
          <w:rFonts w:ascii="Times New Roman" w:hAnsi="Times New Roman"/>
          <w:sz w:val="24"/>
          <w:szCs w:val="24"/>
        </w:rPr>
        <w:t>poszczególnym ofertom</w:t>
      </w:r>
      <w:r w:rsidRPr="00CF5742">
        <w:rPr>
          <w:rFonts w:ascii="Times New Roman" w:hAnsi="Times New Roman"/>
          <w:sz w:val="24"/>
          <w:szCs w:val="24"/>
        </w:rPr>
        <w:t xml:space="preserve">, Komisja konkursowa przyznaje dotacje w ramach posiadanych środków przeznaczonych na realizację danego zadania publicznego. </w:t>
      </w:r>
    </w:p>
    <w:p w:rsidR="00435636" w:rsidRPr="00CF5742" w:rsidRDefault="00F020F4" w:rsidP="000E5E5B">
      <w:pPr>
        <w:pStyle w:val="Tekstpodstawowy"/>
        <w:tabs>
          <w:tab w:val="num" w:pos="400"/>
        </w:tabs>
        <w:suppressAutoHyphens w:val="0"/>
        <w:spacing w:line="360" w:lineRule="auto"/>
        <w:jc w:val="both"/>
        <w:rPr>
          <w:sz w:val="24"/>
          <w:szCs w:val="24"/>
        </w:rPr>
      </w:pPr>
      <w:r w:rsidRPr="00CF5742">
        <w:rPr>
          <w:rFonts w:ascii="Times New Roman" w:hAnsi="Times New Roman"/>
          <w:color w:val="0000FF"/>
          <w:sz w:val="24"/>
          <w:szCs w:val="24"/>
        </w:rPr>
        <w:tab/>
      </w:r>
      <w:r w:rsidRPr="00CF5742">
        <w:rPr>
          <w:rFonts w:ascii="Times New Roman" w:hAnsi="Times New Roman"/>
          <w:sz w:val="24"/>
          <w:szCs w:val="24"/>
        </w:rPr>
        <w:t>Protokół z posiedzenia Komisji konkursowej, zawierają</w:t>
      </w:r>
      <w:r w:rsidR="000E5E5B" w:rsidRPr="00CF5742">
        <w:rPr>
          <w:rFonts w:ascii="Times New Roman" w:hAnsi="Times New Roman"/>
          <w:sz w:val="24"/>
          <w:szCs w:val="24"/>
        </w:rPr>
        <w:t xml:space="preserve">cy listę </w:t>
      </w:r>
      <w:r w:rsidR="00C720DB">
        <w:rPr>
          <w:rFonts w:ascii="Times New Roman" w:hAnsi="Times New Roman"/>
          <w:sz w:val="24"/>
          <w:szCs w:val="24"/>
        </w:rPr>
        <w:t>oferentów</w:t>
      </w:r>
      <w:bookmarkStart w:id="0" w:name="_GoBack"/>
      <w:bookmarkEnd w:id="0"/>
      <w:r w:rsidR="000E5E5B" w:rsidRPr="00CF5742">
        <w:rPr>
          <w:rFonts w:ascii="Times New Roman" w:hAnsi="Times New Roman"/>
          <w:sz w:val="24"/>
          <w:szCs w:val="24"/>
        </w:rPr>
        <w:t xml:space="preserve"> </w:t>
      </w:r>
      <w:r w:rsidRPr="00CF5742">
        <w:rPr>
          <w:rFonts w:ascii="Times New Roman" w:hAnsi="Times New Roman"/>
          <w:sz w:val="24"/>
          <w:szCs w:val="24"/>
        </w:rPr>
        <w:t xml:space="preserve">oraz proponowane kwoty dotacji sporządza jej przewodniczący i przedstawia </w:t>
      </w:r>
      <w:r w:rsidR="000E5E5B" w:rsidRPr="00CF5742">
        <w:rPr>
          <w:rFonts w:ascii="Times New Roman" w:hAnsi="Times New Roman"/>
          <w:sz w:val="24"/>
          <w:szCs w:val="24"/>
        </w:rPr>
        <w:t>Wójtowi Gminy Stryszów</w:t>
      </w:r>
      <w:r w:rsidRPr="00CF5742">
        <w:rPr>
          <w:rFonts w:ascii="Times New Roman" w:hAnsi="Times New Roman"/>
          <w:sz w:val="24"/>
          <w:szCs w:val="24"/>
        </w:rPr>
        <w:t xml:space="preserve">. </w:t>
      </w:r>
    </w:p>
    <w:sectPr w:rsidR="00435636" w:rsidRPr="00CF5742" w:rsidSect="00685E29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92" w:rsidRDefault="00437A92" w:rsidP="002C14B1">
      <w:r>
        <w:separator/>
      </w:r>
    </w:p>
  </w:endnote>
  <w:endnote w:type="continuationSeparator" w:id="0">
    <w:p w:rsidR="00437A92" w:rsidRDefault="00437A92" w:rsidP="002C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BA" w:rsidRDefault="00F10B9D" w:rsidP="00E87B06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0E5E5B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4776BA" w:rsidRDefault="00437A92" w:rsidP="00E87B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BA" w:rsidRDefault="00F10B9D">
    <w:pPr>
      <w:pStyle w:val="Stopka"/>
      <w:jc w:val="right"/>
    </w:pPr>
    <w:r>
      <w:fldChar w:fldCharType="begin"/>
    </w:r>
    <w:r w:rsidR="000E5E5B">
      <w:instrText xml:space="preserve"> PAGE   \* MERGEFORMAT </w:instrText>
    </w:r>
    <w:r>
      <w:fldChar w:fldCharType="separate"/>
    </w:r>
    <w:r w:rsidR="003C74F0">
      <w:rPr>
        <w:noProof/>
      </w:rPr>
      <w:t>2</w:t>
    </w:r>
    <w:r>
      <w:fldChar w:fldCharType="end"/>
    </w:r>
  </w:p>
  <w:p w:rsidR="004776BA" w:rsidRDefault="00437A92" w:rsidP="00E87B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92" w:rsidRDefault="00437A92" w:rsidP="002C14B1">
      <w:r>
        <w:separator/>
      </w:r>
    </w:p>
  </w:footnote>
  <w:footnote w:type="continuationSeparator" w:id="0">
    <w:p w:rsidR="00437A92" w:rsidRDefault="00437A92" w:rsidP="002C1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E9"/>
    <w:multiLevelType w:val="hybridMultilevel"/>
    <w:tmpl w:val="445CDE0C"/>
    <w:lvl w:ilvl="0" w:tplc="5F68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4E1"/>
    <w:multiLevelType w:val="hybridMultilevel"/>
    <w:tmpl w:val="A0F2DB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2867"/>
    <w:multiLevelType w:val="hybridMultilevel"/>
    <w:tmpl w:val="8666699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3B6849A4"/>
    <w:multiLevelType w:val="hybridMultilevel"/>
    <w:tmpl w:val="7BD874B6"/>
    <w:lvl w:ilvl="0" w:tplc="23F49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6C110B48"/>
    <w:multiLevelType w:val="hybridMultilevel"/>
    <w:tmpl w:val="8416E188"/>
    <w:lvl w:ilvl="0" w:tplc="58F4F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033580"/>
    <w:multiLevelType w:val="hybridMultilevel"/>
    <w:tmpl w:val="085E5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4"/>
    <w:rsid w:val="000E5E5B"/>
    <w:rsid w:val="002A7351"/>
    <w:rsid w:val="002C14B1"/>
    <w:rsid w:val="002F6BC8"/>
    <w:rsid w:val="003C74F0"/>
    <w:rsid w:val="00435636"/>
    <w:rsid w:val="00437A92"/>
    <w:rsid w:val="0048237D"/>
    <w:rsid w:val="00621CD4"/>
    <w:rsid w:val="006A6F3E"/>
    <w:rsid w:val="007866FE"/>
    <w:rsid w:val="007B31E9"/>
    <w:rsid w:val="007D4B0B"/>
    <w:rsid w:val="00836B1A"/>
    <w:rsid w:val="00867821"/>
    <w:rsid w:val="00896212"/>
    <w:rsid w:val="009727E4"/>
    <w:rsid w:val="009B7DD0"/>
    <w:rsid w:val="00B15428"/>
    <w:rsid w:val="00B3576E"/>
    <w:rsid w:val="00C57875"/>
    <w:rsid w:val="00C720DB"/>
    <w:rsid w:val="00CF5742"/>
    <w:rsid w:val="00DD2972"/>
    <w:rsid w:val="00EA0AF1"/>
    <w:rsid w:val="00F020F4"/>
    <w:rsid w:val="00F1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0F4"/>
  </w:style>
  <w:style w:type="paragraph" w:styleId="Tekstpodstawowy">
    <w:name w:val="Body Text"/>
    <w:basedOn w:val="Normalny"/>
    <w:link w:val="TekstpodstawowyZnak"/>
    <w:semiHidden/>
    <w:rsid w:val="00F020F4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0F4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0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0F4"/>
  </w:style>
  <w:style w:type="paragraph" w:styleId="Tekstpodstawowy">
    <w:name w:val="Body Text"/>
    <w:basedOn w:val="Normalny"/>
    <w:link w:val="TekstpodstawowyZnak"/>
    <w:semiHidden/>
    <w:rsid w:val="00F020F4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0F4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0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0FF7-1B84-4ACC-B91E-DDFF142A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Jolanta Nowak</cp:lastModifiedBy>
  <cp:revision>3</cp:revision>
  <cp:lastPrinted>2016-11-14T11:13:00Z</cp:lastPrinted>
  <dcterms:created xsi:type="dcterms:W3CDTF">2017-12-27T14:43:00Z</dcterms:created>
  <dcterms:modified xsi:type="dcterms:W3CDTF">2018-12-24T08:22:00Z</dcterms:modified>
</cp:coreProperties>
</file>