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30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43"/>
        <w:gridCol w:w="2077"/>
        <w:gridCol w:w="1860"/>
        <w:gridCol w:w="1596"/>
        <w:gridCol w:w="6314"/>
        <w:gridCol w:w="1540"/>
      </w:tblGrid>
      <w:tr>
        <w:trPr>
          <w:trHeight w:val="285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L.P.</w:t>
            </w:r>
          </w:p>
        </w:tc>
        <w:tc>
          <w:tcPr>
            <w:tcW w:w="207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WYMÓG GWARANCJI</w:t>
            </w:r>
          </w:p>
        </w:tc>
        <w:tc>
          <w:tcPr>
            <w:tcW w:w="15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JEDN. MIARY</w:t>
            </w:r>
          </w:p>
        </w:tc>
        <w:tc>
          <w:tcPr>
            <w:tcW w:w="6314" w:type="dxa"/>
            <w:tcBorders>
              <w:top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OPIS/ PARAMETRY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b/>
                <w:b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ILOŚĆ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Kuchnia</w:t>
            </w:r>
          </w:p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do zabawy dla dzieci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Dziecięca kuchnia z wszystkimi  potrzebnymi modułami: kuchenką z piekarnikiem, lodówką i zamrażalnikiem, kuchenką mikrofalową, zmywarką, zlewem z pralką, szafkami oraz wyposażony w zestaw kuchenny zawierający min. czajnik, rondel, naczynie do odcedzania, patelnie, wok, naczynie żaroodporne, łyżkę, łopatkę, cedzak, sito</w:t>
            </w:r>
            <w:r>
              <w:rPr>
                <w:color w:val="000000"/>
              </w:rPr>
              <w:t xml:space="preserve">, 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min wym: całości 150x38x125cm , wysokość blatu min. 60cm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2.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Kasa sklepowa</w:t>
            </w:r>
          </w:p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do zabawy dla dzieci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Wykonanie – tworzywo sztuczne, z działającym kalkulatorem, mikrofonem i świecącym  na kolorowo skanerem, mini koszyk na zakupy, art. spożywcze (min 122 elementy),  monety, banknoty, karta płatnicza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3.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Pojazdy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1.Wywrotka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( min wym. dł.55cm, max obciążenie 150kg), posiadający otwierany kiper z wygodnym uchwytem, wykonany z wysokiej jakości tworzywa sztucznego, odpornego na warunki atmosferyczne – 1 sztuka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2. auto  ciężarowe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( dł.min. 77 cm) wyposażony w rury oraz dźwig, który ma możliwość ściągania ich z ruchomej naczepy, łączenie rur da również możliwość budowy systemu kanalizacji – 1 sztuka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3.Śmieciarka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(min. wym. dł.59 cm) – 1 sztuka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4.Traktor spychacz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( min.wym. dł.60cm), bezpieczny pojazd dający możliwość dziecku siedzenie  na kabinie traktora i jeżdżenia  na nim poprzez  odpychanie się nogami – 1 sztuka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b/>
                <w:color w:val="000000"/>
                <w:highlight w:val="white"/>
                <w:lang w:eastAsia="pl-PL"/>
              </w:rPr>
              <w:t>5.Pojazdy z garażem i windą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– min 3 poziomowy garaż zawierający : elementy dróg oraz windę umożliwiającą przemieszczanie się pojazdów, min wyposażony w  dwa samochodziki oraz barierki. Min. dł. Toru 2,5 m –                      1 sztuka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4.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Lalki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Lalki - niemowlęcia z funkcją picia , każda lalka ma w zestawie butelkę i smoczek. Wysokość min. lalki 30cm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5.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Konik bujany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konik na biegunach z funkcją bujania. Konik posiadający  drewniane bujaki i drewniane uchwyty, wygodne, wyprofilowane siodło, które gwarantuje  bezpieczną zabawę.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6.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Laboratorium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Sztuka/zestaw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jc w:val="both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Różne zestawy, które w ciekawy sposób wprowadzą dzieci:</w:t>
            </w:r>
          </w:p>
          <w:p>
            <w:pPr>
              <w:pStyle w:val="Normal"/>
              <w:widowControl/>
              <w:shd w:fill="FFFFFF" w:val="clear"/>
              <w:jc w:val="both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- w świat magnetyzmu przy przeprowadzaniu różnych doświadczeń. Zestaw powinien zawierać:  </w:t>
              <w:br/>
              <w:t xml:space="preserve">• min. 100 elementów, Zestaw ma na celu wyjaśnienie działania magnesu, wytwarzającego pole magnetyczne i jego rolę w środowisku. Zestaw powinien  składać  się z magnesów zróżnicowanych wielkością, kolorem, kształtem. </w:t>
            </w:r>
          </w:p>
          <w:p>
            <w:pPr>
              <w:pStyle w:val="Normal"/>
              <w:widowControl/>
              <w:shd w:fill="FFFFFF" w:val="clear"/>
              <w:jc w:val="both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-w świat tworzenia modeli pojazdów zasilanych energią elektryczną, który ma służyć wyposażeniu dzieci w wiedzę jak wytwarza się prąd oraz teorię z zakresu elektryczności.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fill="FFFFFF" w:val="clear"/>
              <w:jc w:val="both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w świat nauki  i przyrody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fill="FFFFFF" w:val="clear"/>
              <w:ind w:left="720" w:hanging="0"/>
              <w:jc w:val="both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Wszystkie elementy powinny być łatwe w łączeniu i bezpieczne dla małych wychowanków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7.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Klocki różnego rodzaju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Klocki różnego rodzaju – klocki o tradycyjnym sposobie łączenia z dużymi elementami, które pozwalają na szybkie konstruowanie. min. wymiary</w:t>
            </w:r>
          </w:p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 xml:space="preserve"> </w:t>
            </w: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2,5 x 5  do 7 x5 cm, min 240 elementów.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8.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Tory przeszkód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Kształtki rehabilitacyjne - wykonane  z pianki wykrytej trwałą i zmywalna tkaniną. Można je łączyć w tory przeszkód, jak również tworzyć przestrzenne konstrukcje. Wymiary najmniejszego elementu 30x30x15 cm, wymiary największego elementu 30x30x90 cm – 1 sztuka</w:t>
            </w:r>
          </w:p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2.Kształtki rehabilitacyjne o różnych kształtach do tworzenia torów przeszkód, min. wymiary elementów od 20 do 80 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9.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Tunele edukacyjne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Zestaw piankowy tunel e-, min. wymiary zestawu 180x300cm. W skład zestawu wchodzą: belka, sześciokąt,  materac mały.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10.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Kształtki edukacyjne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Sztuka/ zestaw min. 4 sztuki w zestawie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Miękkie, wygodne poduchy w kształcie różnych zwierzątek, wypełnione granulatem dzięki czemu dopasowują się swobodnie do osoby siedzącej min. wymiary 60cm x śr 80 cm x waga min 4 kg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11.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Globus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1.Globus dający możliwość rysowania i ścierania zaznaczonych na nim elementów i granic geograficznych. Zawierający mazaki suchościeralne, min. średnica 28 cm,</w:t>
            </w:r>
          </w:p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2.Globus fizyczny, podświetlany min. średnica 32 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12.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Suchy basen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Min wym. basenu : 2x3m, wysokość: 40cm, ściany o grubości min 30cm, pojemność  5000 piłek będących wyposażeniem basenu.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13.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Piłki, badminton, siatka do tenisa stołowego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retekstu"/>
              <w:widowControl/>
              <w:spacing w:before="0" w:after="0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  <w:lang w:eastAsia="pl-PL"/>
              </w:rPr>
              <w:t>1.Zestaw do badmintona zawierający: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-Siatkę wykonaną z poliestru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-Rakietki wykonane ze stali hartowanej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-lotki: piórowe z miękką końcówka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-lotki: białe , świecące LED</w:t>
            </w:r>
          </w:p>
          <w:p>
            <w:pPr>
              <w:pStyle w:val="Tretekstu"/>
              <w:widowControl/>
              <w:spacing w:before="0" w:after="0"/>
              <w:rPr/>
            </w:pP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-znaczniki pól wypełnione piaskiem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Min.wymiary :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-siatki: ok. 300 x 33 cm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-długość rakietek: ok. 65 cm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-szerokość lotek (góra / doł): ok. 6,25 cm / 2,60 cm</w:t>
            </w:r>
          </w:p>
          <w:p>
            <w:pPr>
              <w:pStyle w:val="Tretekstu"/>
              <w:widowControl/>
              <w:spacing w:before="0" w:after="0"/>
              <w:rPr>
                <w:rFonts w:eastAsia="Times New Roman" w:cs="Arial;Helvetica;sans-serif"/>
                <w:color w:val="000000"/>
                <w:highlight w:val="white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</w:rPr>
              <w:t>-opakowania: ok. 72,5 x 33 x 13,5 cm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</w:tabs>
              <w:ind w:left="672" w:right="0" w:hanging="0"/>
              <w:rPr/>
            </w:pPr>
            <w:r>
              <w:rPr>
                <w:rStyle w:val="Mocnowyrniony"/>
                <w:b w:val="false"/>
                <w:bCs w:val="false"/>
                <w:color w:val="000000"/>
                <w:highlight w:val="white"/>
              </w:rPr>
              <w:t>2.Stół do tenisa stołowego składany, z płyty mdf, na konstrukcji stalowej. Wymiary min. długość 274 cmx 152,5, grubość blatu min. 1,2 cm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</w:tabs>
              <w:ind w:left="672" w:right="0" w:hanging="0"/>
              <w:rPr/>
            </w:pPr>
            <w:r>
              <w:rPr>
                <w:rStyle w:val="Mocnowyrniony"/>
                <w:rFonts w:eastAsia="Times New Roman"/>
                <w:b w:val="false"/>
                <w:bCs w:val="false"/>
                <w:color w:val="000000"/>
                <w:highlight w:val="white"/>
              </w:rPr>
              <w:t>3.Siatka do tenisa stołowego</w:t>
            </w:r>
            <w:r>
              <w:rPr>
                <w:rStyle w:val="Domylnaczcionkaakapitu"/>
                <w:rFonts w:eastAsia="Times New Roman" w:cs="Arial;Helvetica;sans-serif"/>
                <w:color w:val="000000"/>
                <w:highlight w:val="white"/>
              </w:rPr>
              <w:t>- Klasyczna, bawełniana siatka do tenisa stołowego. System regulacji umożliwia ustawienie optymalnego napięcia siatki. Wyposażona w wygodny system mocowania zaciskowego (klips), który znacznie ułatwia montaż</w:t>
            </w:r>
            <w:r>
              <mc:AlternateContent>
                <mc:Choice Requires="wps">
                  <w:drawing>
                    <wp:anchor behindDoc="0" distT="0" distB="76200" distL="0" distR="0" simplePos="0" locked="0" layoutInCell="1" allowOverlap="1" relativeHeight="2">
                      <wp:simplePos x="0" y="0"/>
                      <wp:positionH relativeFrom="column">
                        <wp:align>left</wp:align>
                      </wp:positionH>
                      <wp:positionV relativeFrom="margin">
                        <wp:align>top</wp:align>
                      </wp:positionV>
                      <wp:extent cx="5796915" cy="14605"/>
                      <wp:effectExtent l="0" t="0" r="0" b="0"/>
                      <wp:wrapSquare wrapText="largest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6915" cy="1460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Tretekstu"/>
                                    <w:suppressAutoHyphens w:val="true"/>
                                    <w:spacing w:before="0" w:after="12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56.45pt;height:1.15pt;mso-wrap-distance-left:0pt;mso-wrap-distance-right:0pt;mso-wrap-distance-top:0pt;mso-wrap-distance-bottom:0pt;margin-top:0pt;mso-position-vertical:top;mso-position-vertical-relative:margin;margin-left:-3.5pt;mso-position-horizontal:left;mso-position-horizontal-relative:text">
                      <v:textbox inset="0in,0in,0in,0in">
                        <w:txbxContent>
                          <w:p>
                            <w:pPr>
                              <w:pStyle w:val="Tretekstu"/>
                              <w:suppressAutoHyphens w:val="true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 side="right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</w:tabs>
              <w:ind w:left="702" w:right="0" w:hanging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4.Zestaw piłek-zawiera piłkę do gry w tenisa, piłkę nożną, football i koszykówkę.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Krzesła z podziałem na grupy wiekowe</w:t>
            </w:r>
          </w:p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</w:rPr>
              <w:t>1.Krzesełko wykonane z lakierowanego drewna . Min. wymiary siedzące 32x30,5 cm /5 sztuk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</w:rPr>
              <w:t>2.Krzesełko z siedziskiem i oparciem wykonanym z lakierowanej sklejki bukowej . Min. wymiary siedzące 34,2x33 cm /10 sztuk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</w:rPr>
              <w:t>3. Krzesełko z siedziskiem i oparciem wykonanym z lakierowanej sklejki bukowej . Min. wymiary siedzące 34,2x29,5 cm /5 sztuk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Stoły do zajęć plastycznych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62" w:right="0" w:hanging="0"/>
              <w:rPr/>
            </w:pPr>
            <w:r>
              <w:rPr>
                <w:rStyle w:val="Domylnaczcionkaakapitu"/>
                <w:rFonts w:eastAsia="Times New Roman"/>
                <w:color w:val="000000"/>
                <w:lang w:eastAsia="pl-PL"/>
              </w:rPr>
              <w:t>1.Stoły sześciokątne, min. wym. blatu 144,5x128 cm Stoły z regulowaną wysokością, min. długość boku 72 cm, min. dł. przekątnej między kątami 144,5 cm, min. dł. między dwoma prostymi 128 cm /2 sztuki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lang w:eastAsia="pl-PL"/>
              </w:rPr>
              <w:t>2. Stoły okrągłe min. śr. blatu 90 cm, z regulowaną wysokością, min. śr. 90 cm /1 sztuka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Meble na zabawki oraz gry edukacyjne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eastAsia="pl-PL"/>
              </w:rPr>
              <w:t>1.Stolik z półką -kwadratowy stolik stanowiący uzupełnienie kącików zabaw dla dzieci. Półka pod blatem stolika umożliwia przechowywanie książek i gier.</w:t>
            </w:r>
            <w:r>
              <w:rPr>
                <w:rStyle w:val="Domylnaczcionkaakapitu"/>
                <w:color w:val="000000"/>
                <w:highlight w:val="white"/>
              </w:rPr>
              <w:t xml:space="preserve">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eastAsia="pl-PL"/>
              </w:rPr>
              <w:t>Min. wymiary 65x65 cm, wysokość 40 cm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eastAsia="pl-PL"/>
              </w:rPr>
              <w:t>2.Mobilny teatrzyk-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• wym. min. 89,1 x 41,5 x 121,6 cm</w:t>
              <w:br/>
              <w:t>Meble wykonane z płyty laminowanej o gr. 18 mm, w tonacji brzozy, uzupełnione detalami wykonanymi z kolorowej płyty laminowanej, umożliwiający realizację teatrzyków dziecięcych.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3.Mobilny kącik manipulacyjny- • min.wym. 89,1 x 41,5 x 92,4 cm</w:t>
              <w:br/>
              <w:t>Meble wykonane z płyty laminowanej o min. gr. 18 mm, w tonacji brzozy, uzupełnione detalami wykonanymi z kolorowej płyty laminowanej.</w:t>
              <w:br/>
              <w:t xml:space="preserve"> Po każdej stronie znajdą się przesuwaki, labirynt z koralikami i dzwoneczki na sznurku. Listek nad labiryntem wypełniony jest szeleszczącą folią, a gąsienicę na sznurku można przesuwać. W dolnej części znajduje się przesuwaka z figurami geometrycznymi. </w:t>
              <w:br/>
              <w:t>• min. wym. 85 x 20 x 44 cm</w:t>
              <w:br/>
              <w:t>4.Mebelki-na które składa się regał z przegrodą i 2 półkami, 4szuflady. Drzwiczki od mebli są różnokolorowe. Min. wym. 237,6 x 41,5 x 124,2 cm, wykonane z białej lub klonowej płyty laminowanej, o min. gr. 18 mm,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5.Szafka na prace do przechowywania prac i papierów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•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min. wym. 48,5 x 33 x 80,5 cm </w:t>
              <w:br/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Wyposażenie szatni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Zestaw/min. 2szt.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</w:rPr>
              <w:t>Ławki szatniowe regulowane - ławka szatniowa z regulowaną wysokością, wykonana z profilu płasko-owalnego o przekroju min. 38x20 mm, Siedzisko i półka wykonana z płyty laminowanej. Ławka posiada stopki regulujące poziom. Wymiary min. 121x39x141-179 cm, min. wysokość ławeczki 40 cm, na jednej ławce szatniowej może się znajdować 10 osób.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Skrzynki na zabawki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lang w:eastAsia="pl-PL"/>
              </w:rPr>
              <w:t>1.Mobilny pojemnik na kółkach do przechowywania książek i gier. Wykonany z płyty wiórowej z elementami kolorowymi z płyty mdf. Min. wym. 60x60x20 cm</w:t>
            </w:r>
          </w:p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Kanapa do zajęć grupowych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Kanapy wypoczynkowe piankowe pokryte trwałą tkaniną PCV, wolną od ftalanów wygodne oraz wytrzymałe. min. wymiary 85x56,5x63 cm, wys. siedziska 34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Tablica magnetyczna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Tablice Magnetyczne suchościeralne- tablice białe do układania obrazków, pisania. Posiadające w zestawie płyn do czyszczenia tablic. Min. wymiary tablicy 90x60 cm  i 150x 100 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Materace do zajęć specjalistycznych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lang w:eastAsia="pl-PL"/>
              </w:rPr>
              <w:t>Maty gimnastyczne- lekkie maty do ćwiczeń oraz zabawy. Złożone z 3 części. Wymiary min. po rozłożeniu 155x62x2cm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Tablica korkowa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1.Tablice korkowe- korkowa tablica z drewniana ramą do prezentacji prac, min. wymiary 90x150 cm – 1 sztuka</w:t>
            </w:r>
          </w:p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2.Tablice korkowe z kolorową powierzchnia korkową, do prezentacji prac lub wywieszania ogłoszeń, min. wymiary 90x120 cm – 1 sztuka</w:t>
            </w:r>
          </w:p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3.Tablice korkowe z kolorową powierzchnia korkową, do prezentacji prac lub wywieszania ogłoszeń, min. wymiary 100x150 cm – 1 sztuka</w:t>
            </w:r>
          </w:p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Tablice korkowe z kolorową powierzchnia korkową, do prezentacji prac lub wywieszania ogłoszeń, min. wymiary 100x200 cm – 1 sztuka</w:t>
            </w:r>
          </w:p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Gry i zabawy edukacyjne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 gier i zabaw edukacyjnych, wspomagających wszechstronny rozwój dziecka, min. liczba gier 30 sztuk</w:t>
            </w:r>
          </w:p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Gry rozwojowe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 gier rozwojowych, wspomagających wszechstronny rozwój dziecka, min. liczba gier 45 sztuk</w:t>
            </w:r>
          </w:p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Gry planszowe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  <w:t>G</w:t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 gier planszowych, wspomagających wszechstronny rozwój dziecka, min. liczba gier 20 sztuk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26.</w:t>
            </w:r>
          </w:p>
        </w:tc>
        <w:tc>
          <w:tcPr>
            <w:tcW w:w="207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Materiały do zajęć plastycznych</w:t>
            </w:r>
          </w:p>
        </w:tc>
        <w:tc>
          <w:tcPr>
            <w:tcW w:w="18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Arial;Helvetica;sans-serif"/>
                <w:color w:val="000000"/>
                <w:highlight w:val="white"/>
                <w:lang w:eastAsia="pl-PL"/>
              </w:rPr>
            </w:r>
          </w:p>
        </w:tc>
        <w:tc>
          <w:tcPr>
            <w:tcW w:w="159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</w:t>
            </w:r>
          </w:p>
        </w:tc>
        <w:tc>
          <w:tcPr>
            <w:tcW w:w="6314" w:type="dxa"/>
            <w:tcBorders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 zestawu:</w:t>
            </w:r>
          </w:p>
          <w:p>
            <w:pPr>
              <w:pStyle w:val="Normal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</w:t>
            </w:r>
            <w:r>
              <w:rPr>
                <w:rFonts w:eastAsia="Times New Roman"/>
                <w:color w:val="000000"/>
                <w:lang w:eastAsia="pl-PL"/>
              </w:rPr>
              <w:t>1.Pistolet i klej na gorąco- 5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Wełna czesankowa mix kolorów- 3 opakowania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Igły do filcowania- 10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Mulina kolorowa- 10 sztuk różnego koloru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Włóczki kolorowe- 10 sztuk różnego koloru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Filc kolorowy- 10 sztuk różnego koloru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Wata- 5 opakowań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Nożyczki duże- 5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Klej- 10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Szpilki- różne rodzaje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Cekiny- kolorowe i jednolite- 10 opakowań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Bibuła kolorowa- 10 kolorów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Krepina- 10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Koronki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Przedmioty do decoupage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Klej wikol- 5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Wstążki, kokardki- różne wielkością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Kartki ozdobne- do robienia kartek- 5 zestawów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Materiał kolorowy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Pędzle do malowania- 10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Wzory, szablony do odbijania- 10 sztuk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Wykałaczki długie- 5 opakowań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Styropianowe jajka, bombki, choinki, itp.- po 20 sztuk każdej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Sznurek- brązowy- 5 rolek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Pisaki do tkanin- 1 zestaw w różnych kolorach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Farby olejne- 1 zestaw w różnych kolorach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Podobrazia- 5 sztuk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Koraliki ozdobne- 1 zestaw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Glina rzeźbiarska- 5 sztuk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Ciastolina- 5 sztuk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Piasek kinetyczny- opakowanie 5 kg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Bloki techniczne- 5 kolorowych/ 5 białych</w:t>
            </w:r>
          </w:p>
          <w:p>
            <w:pPr>
              <w:pStyle w:val="Tretekstu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papiery kolorowe- 5 sztuk</w:t>
            </w:r>
          </w:p>
          <w:p>
            <w:pPr>
              <w:pStyle w:val="Tretekstu"/>
              <w:numPr>
                <w:ilvl w:val="0"/>
                <w:numId w:val="4"/>
              </w:numPr>
              <w:spacing w:before="0"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Kredki pastelowe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</w:tbl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2528" w:footer="1417" w:bottom="28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egoe U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76200" distL="0" distR="0" simplePos="0" locked="0" layoutInCell="1" allowOverlap="1" relativeHeight="12">
          <wp:simplePos x="0" y="0"/>
          <wp:positionH relativeFrom="column">
            <wp:posOffset>0</wp:posOffset>
          </wp:positionH>
          <wp:positionV relativeFrom="line">
            <wp:posOffset>635</wp:posOffset>
          </wp:positionV>
          <wp:extent cx="8928100" cy="492760"/>
          <wp:effectExtent l="0" t="0" r="0" b="0"/>
          <wp:wrapSquare wrapText="bothSides"/>
          <wp:docPr id="2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cs="Arial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bidi="hi-IN" w:val="pl-PL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ListLabel1">
    <w:name w:val="ListLabel 1"/>
    <w:qFormat/>
    <w:rPr>
      <w:sz w:val="20"/>
    </w:rPr>
  </w:style>
  <w:style w:type="character" w:styleId="Nagwek1Znak">
    <w:name w:val="Nagłówek 1 Znak"/>
    <w:basedOn w:val="Domylnaczcionkaakapitu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sz w:val="20"/>
    </w:rPr>
  </w:style>
  <w:style w:type="character" w:styleId="WWCharLFO1LVL2">
    <w:name w:val="WW_CharLFO1LVL2"/>
    <w:qFormat/>
    <w:rPr>
      <w:sz w:val="20"/>
    </w:rPr>
  </w:style>
  <w:style w:type="character" w:styleId="WWCharLFO1LVL3">
    <w:name w:val="WW_CharLFO1LVL3"/>
    <w:qFormat/>
    <w:rPr>
      <w:sz w:val="20"/>
    </w:rPr>
  </w:style>
  <w:style w:type="character" w:styleId="WWCharLFO1LVL4">
    <w:name w:val="WW_CharLFO1LVL4"/>
    <w:qFormat/>
    <w:rPr>
      <w:sz w:val="20"/>
    </w:rPr>
  </w:style>
  <w:style w:type="character" w:styleId="WWCharLFO1LVL5">
    <w:name w:val="WW_CharLFO1LVL5"/>
    <w:qFormat/>
    <w:rPr>
      <w:sz w:val="20"/>
    </w:rPr>
  </w:style>
  <w:style w:type="character" w:styleId="WWCharLFO1LVL6">
    <w:name w:val="WW_CharLFO1LVL6"/>
    <w:qFormat/>
    <w:rPr>
      <w:sz w:val="20"/>
    </w:rPr>
  </w:style>
  <w:style w:type="character" w:styleId="WWCharLFO1LVL7">
    <w:name w:val="WW_CharLFO1LVL7"/>
    <w:qFormat/>
    <w:rPr>
      <w:sz w:val="20"/>
    </w:rPr>
  </w:style>
  <w:style w:type="character" w:styleId="WWCharLFO1LVL8">
    <w:name w:val="WW_CharLFO1LVL8"/>
    <w:qFormat/>
    <w:rPr>
      <w:sz w:val="20"/>
    </w:rPr>
  </w:style>
  <w:style w:type="character" w:styleId="WWCharLFO1LVL9">
    <w:name w:val="WW_CharLFO1LVL9"/>
    <w:qFormat/>
    <w:rPr>
      <w:sz w:val="20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agwek">
    <w:name w:val="Nagłówek"/>
    <w:basedOn w:val="Normal"/>
    <w:qFormat/>
    <w:pPr>
      <w:suppressLineNumbers/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2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"/>
    <w:qFormat/>
    <w:pPr>
      <w:suppressAutoHyphens w:val="true"/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Tekstkomentarza">
    <w:name w:val="Tekst komentarza"/>
    <w:basedOn w:val="Normal"/>
    <w:qFormat/>
    <w:pPr>
      <w:suppressAutoHyphens w:val="true"/>
    </w:pPr>
    <w:rPr>
      <w:sz w:val="20"/>
      <w:szCs w:val="20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Style13">
    <w:name w:val="style1"/>
    <w:basedOn w:val="Normalny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LibreOffice/6.0.1.1$Windows_x86 LibreOffice_project/60bfb1526849283ce2491346ed2aa51c465abfe6</Application>
  <Pages>10</Pages>
  <Words>1583</Words>
  <CharactersWithSpaces>10197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2018-06-21T12:00:00Z</dcterms:created>
  <dc:creator>Zofia Dyrcz</dc:creator>
  <dc:description/>
  <dc:language>pl-PL</dc:language>
  <cp:lastModifiedBy/>
  <cp:lastPrinted>2018-06-05T10:08:00Z</cp:lastPrinted>
  <dcterms:modified xsi:type="dcterms:W3CDTF">2018-06-28T14:57:03Z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