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F5" w:rsidRDefault="001F5FF5" w:rsidP="00991BA0">
      <w:pPr>
        <w:spacing w:after="0"/>
        <w:jc w:val="right"/>
        <w:rPr>
          <w:b/>
          <w:i/>
        </w:rPr>
      </w:pPr>
    </w:p>
    <w:p w:rsidR="001F5FF5" w:rsidRDefault="001F5FF5" w:rsidP="00991BA0">
      <w:pPr>
        <w:spacing w:after="0"/>
        <w:jc w:val="right"/>
        <w:rPr>
          <w:b/>
          <w:i/>
        </w:rPr>
      </w:pPr>
    </w:p>
    <w:p w:rsidR="001F5FF5" w:rsidRDefault="001F5FF5" w:rsidP="00991BA0">
      <w:pPr>
        <w:spacing w:after="0"/>
        <w:jc w:val="right"/>
        <w:rPr>
          <w:b/>
          <w:i/>
        </w:rPr>
      </w:pPr>
    </w:p>
    <w:p w:rsidR="001F5FF5" w:rsidRPr="001F5FF5" w:rsidRDefault="00991BA0" w:rsidP="00991BA0">
      <w:pPr>
        <w:spacing w:after="0"/>
        <w:jc w:val="right"/>
        <w:rPr>
          <w:b/>
          <w:i/>
        </w:rPr>
      </w:pPr>
      <w:r w:rsidRPr="001F5FF5">
        <w:rPr>
          <w:b/>
          <w:i/>
        </w:rPr>
        <w:t>Załą</w:t>
      </w:r>
      <w:r w:rsidR="00007D1F" w:rsidRPr="001F5FF5">
        <w:rPr>
          <w:b/>
          <w:i/>
        </w:rPr>
        <w:t xml:space="preserve">cznik </w:t>
      </w:r>
      <w:r w:rsidR="001F5FF5" w:rsidRPr="001F5FF5">
        <w:rPr>
          <w:b/>
          <w:i/>
        </w:rPr>
        <w:t xml:space="preserve">nr 2 </w:t>
      </w:r>
    </w:p>
    <w:p w:rsidR="00DE4264" w:rsidRPr="001F5FF5" w:rsidRDefault="00007D1F" w:rsidP="00991BA0">
      <w:pPr>
        <w:spacing w:after="0"/>
        <w:jc w:val="right"/>
        <w:rPr>
          <w:b/>
          <w:i/>
        </w:rPr>
      </w:pPr>
      <w:r w:rsidRPr="001F5FF5">
        <w:rPr>
          <w:b/>
          <w:i/>
        </w:rPr>
        <w:t xml:space="preserve">do </w:t>
      </w:r>
      <w:r w:rsidR="00295473" w:rsidRPr="001F5FF5">
        <w:rPr>
          <w:b/>
          <w:i/>
          <w:color w:val="000000" w:themeColor="text1"/>
        </w:rPr>
        <w:t>Zarządzenia Nr 294/2016</w:t>
      </w:r>
    </w:p>
    <w:p w:rsidR="00991BA0" w:rsidRPr="001F5FF5" w:rsidRDefault="00991BA0" w:rsidP="00991BA0">
      <w:pPr>
        <w:spacing w:after="0"/>
        <w:jc w:val="right"/>
        <w:rPr>
          <w:b/>
          <w:i/>
        </w:rPr>
      </w:pPr>
      <w:r w:rsidRPr="001F5FF5">
        <w:rPr>
          <w:b/>
          <w:i/>
        </w:rPr>
        <w:t>Burmistrza Miasta Kalwarii Zebrzydowskiej</w:t>
      </w:r>
    </w:p>
    <w:p w:rsidR="00991BA0" w:rsidRPr="001F5FF5" w:rsidRDefault="00295473" w:rsidP="00991BA0">
      <w:pPr>
        <w:spacing w:after="0"/>
        <w:jc w:val="right"/>
        <w:rPr>
          <w:b/>
          <w:i/>
        </w:rPr>
      </w:pPr>
      <w:r w:rsidRPr="001F5FF5">
        <w:rPr>
          <w:b/>
          <w:i/>
        </w:rPr>
        <w:t>z dnia 14</w:t>
      </w:r>
      <w:r w:rsidR="00991BA0" w:rsidRPr="001F5FF5">
        <w:rPr>
          <w:b/>
          <w:i/>
        </w:rPr>
        <w:t xml:space="preserve"> listopada 2016 r.</w:t>
      </w:r>
    </w:p>
    <w:p w:rsidR="00991BA0" w:rsidRDefault="00991BA0" w:rsidP="00991BA0">
      <w:pPr>
        <w:spacing w:after="0"/>
        <w:jc w:val="right"/>
      </w:pPr>
    </w:p>
    <w:p w:rsidR="00991BA0" w:rsidRDefault="00991BA0" w:rsidP="00991BA0">
      <w:pPr>
        <w:spacing w:after="0"/>
        <w:jc w:val="right"/>
      </w:pPr>
    </w:p>
    <w:p w:rsidR="00991BA0" w:rsidRDefault="00991BA0" w:rsidP="00991BA0">
      <w:pPr>
        <w:jc w:val="center"/>
        <w:rPr>
          <w:b/>
          <w:sz w:val="28"/>
          <w:szCs w:val="28"/>
        </w:rPr>
      </w:pPr>
      <w:r w:rsidRPr="00991BA0">
        <w:rPr>
          <w:b/>
          <w:sz w:val="28"/>
          <w:szCs w:val="28"/>
        </w:rPr>
        <w:t>FORMULARZ ZGŁASZANIA UWAG</w:t>
      </w:r>
    </w:p>
    <w:p w:rsidR="00991BA0" w:rsidRPr="00991BA0" w:rsidRDefault="00991BA0" w:rsidP="00991BA0">
      <w:pPr>
        <w:jc w:val="center"/>
        <w:rPr>
          <w:b/>
          <w:sz w:val="24"/>
          <w:szCs w:val="24"/>
        </w:rPr>
      </w:pPr>
      <w:r w:rsidRPr="00991BA0">
        <w:rPr>
          <w:b/>
          <w:sz w:val="24"/>
          <w:szCs w:val="24"/>
        </w:rPr>
        <w:t>dotyczący projektu Uchwały Rady Miejskiej w Kalwarii Zebrzydowskiej</w:t>
      </w:r>
    </w:p>
    <w:p w:rsidR="00991BA0" w:rsidRDefault="00991BA0" w:rsidP="00991BA0">
      <w:pPr>
        <w:jc w:val="center"/>
        <w:rPr>
          <w:b/>
          <w:sz w:val="24"/>
          <w:szCs w:val="24"/>
        </w:rPr>
      </w:pPr>
      <w:r>
        <w:rPr>
          <w:b/>
          <w:sz w:val="24"/>
          <w:szCs w:val="24"/>
        </w:rPr>
        <w:t>w</w:t>
      </w:r>
      <w:r w:rsidRPr="00991BA0">
        <w:rPr>
          <w:b/>
          <w:sz w:val="24"/>
          <w:szCs w:val="24"/>
        </w:rPr>
        <w:t xml:space="preserve"> sprawie</w:t>
      </w:r>
      <w:r w:rsidR="001F5FF5">
        <w:rPr>
          <w:b/>
          <w:sz w:val="24"/>
          <w:szCs w:val="24"/>
        </w:rPr>
        <w:t>:</w:t>
      </w:r>
      <w:r w:rsidRPr="00991BA0">
        <w:rPr>
          <w:b/>
          <w:sz w:val="24"/>
          <w:szCs w:val="24"/>
        </w:rPr>
        <w:t xml:space="preserve"> wyznaczenia obszaru zdegradowanego oraz obszaru rewitalizacji </w:t>
      </w:r>
      <w:r>
        <w:rPr>
          <w:b/>
          <w:sz w:val="24"/>
          <w:szCs w:val="24"/>
        </w:rPr>
        <w:br/>
      </w:r>
      <w:r w:rsidRPr="00991BA0">
        <w:rPr>
          <w:b/>
          <w:sz w:val="24"/>
          <w:szCs w:val="24"/>
        </w:rPr>
        <w:t>Gminy Kalwaria Zebrzydowska</w:t>
      </w:r>
    </w:p>
    <w:p w:rsidR="00991BA0" w:rsidRDefault="00991BA0" w:rsidP="00991BA0">
      <w:pPr>
        <w:jc w:val="center"/>
        <w:rPr>
          <w:b/>
          <w:sz w:val="24"/>
          <w:szCs w:val="24"/>
        </w:rPr>
      </w:pPr>
    </w:p>
    <w:p w:rsidR="00991BA0" w:rsidRDefault="00991BA0" w:rsidP="00991BA0">
      <w:pPr>
        <w:jc w:val="center"/>
        <w:rPr>
          <w:b/>
          <w:sz w:val="24"/>
          <w:szCs w:val="24"/>
        </w:rPr>
      </w:pPr>
      <w:r>
        <w:rPr>
          <w:b/>
          <w:sz w:val="24"/>
          <w:szCs w:val="24"/>
        </w:rPr>
        <w:t xml:space="preserve">Zakres konsultacji obejmuje wyznaczenie obszaru zdegradowanego i obszaru rewitalizacji Gminy Kalwaria Zebrzydowska zgodnie z ustawą z dnia 9 października 2015 r. </w:t>
      </w:r>
      <w:r>
        <w:rPr>
          <w:b/>
          <w:sz w:val="24"/>
          <w:szCs w:val="24"/>
        </w:rPr>
        <w:br/>
        <w:t>o rewitalizacji</w:t>
      </w:r>
    </w:p>
    <w:p w:rsidR="00991BA0" w:rsidRDefault="00991BA0" w:rsidP="00991BA0">
      <w:pPr>
        <w:jc w:val="center"/>
        <w:rPr>
          <w:b/>
          <w:sz w:val="24"/>
          <w:szCs w:val="24"/>
        </w:rPr>
      </w:pPr>
    </w:p>
    <w:p w:rsidR="00991BA0" w:rsidRDefault="00991BA0" w:rsidP="00991BA0">
      <w:pPr>
        <w:pStyle w:val="Akapitzlist"/>
        <w:numPr>
          <w:ilvl w:val="0"/>
          <w:numId w:val="1"/>
        </w:numPr>
        <w:rPr>
          <w:b/>
          <w:sz w:val="24"/>
          <w:szCs w:val="24"/>
        </w:rPr>
      </w:pPr>
      <w:r>
        <w:rPr>
          <w:b/>
          <w:sz w:val="24"/>
          <w:szCs w:val="24"/>
        </w:rPr>
        <w:t>Zgłaszane uwagi, postulaty, propozycje:</w:t>
      </w:r>
    </w:p>
    <w:tbl>
      <w:tblPr>
        <w:tblStyle w:val="Tabela-Siatka"/>
        <w:tblW w:w="0" w:type="auto"/>
        <w:tblLook w:val="04A0" w:firstRow="1" w:lastRow="0" w:firstColumn="1" w:lastColumn="0" w:noHBand="0" w:noVBand="1"/>
      </w:tblPr>
      <w:tblGrid>
        <w:gridCol w:w="562"/>
        <w:gridCol w:w="3968"/>
        <w:gridCol w:w="2266"/>
        <w:gridCol w:w="2266"/>
      </w:tblGrid>
      <w:tr w:rsidR="00991BA0" w:rsidRPr="00991BA0" w:rsidTr="00991BA0">
        <w:tc>
          <w:tcPr>
            <w:tcW w:w="562" w:type="dxa"/>
            <w:vAlign w:val="center"/>
          </w:tcPr>
          <w:p w:rsidR="00991BA0" w:rsidRPr="00991BA0" w:rsidRDefault="00991BA0" w:rsidP="00991BA0">
            <w:pPr>
              <w:jc w:val="center"/>
              <w:rPr>
                <w:b/>
                <w:sz w:val="24"/>
                <w:szCs w:val="24"/>
              </w:rPr>
            </w:pPr>
            <w:r w:rsidRPr="00991BA0">
              <w:rPr>
                <w:b/>
                <w:sz w:val="24"/>
                <w:szCs w:val="24"/>
              </w:rPr>
              <w:t>Lp.</w:t>
            </w:r>
          </w:p>
        </w:tc>
        <w:tc>
          <w:tcPr>
            <w:tcW w:w="3968" w:type="dxa"/>
            <w:vAlign w:val="center"/>
          </w:tcPr>
          <w:p w:rsidR="00991BA0" w:rsidRPr="00991BA0" w:rsidRDefault="00991BA0" w:rsidP="00991BA0">
            <w:pPr>
              <w:jc w:val="center"/>
              <w:rPr>
                <w:b/>
                <w:sz w:val="24"/>
                <w:szCs w:val="24"/>
              </w:rPr>
            </w:pPr>
          </w:p>
          <w:p w:rsidR="00991BA0" w:rsidRPr="00991BA0" w:rsidRDefault="00991BA0" w:rsidP="00991BA0">
            <w:pPr>
              <w:jc w:val="center"/>
              <w:rPr>
                <w:b/>
                <w:sz w:val="24"/>
                <w:szCs w:val="24"/>
              </w:rPr>
            </w:pPr>
            <w:r w:rsidRPr="00991BA0">
              <w:rPr>
                <w:b/>
                <w:sz w:val="24"/>
                <w:szCs w:val="24"/>
              </w:rPr>
              <w:t>Część dokumentu, do którego  odnosi się uwaga:</w:t>
            </w:r>
          </w:p>
          <w:p w:rsidR="00991BA0" w:rsidRPr="00991BA0" w:rsidRDefault="00991BA0" w:rsidP="00991BA0">
            <w:pPr>
              <w:jc w:val="center"/>
              <w:rPr>
                <w:b/>
                <w:sz w:val="24"/>
                <w:szCs w:val="24"/>
              </w:rPr>
            </w:pPr>
          </w:p>
        </w:tc>
        <w:tc>
          <w:tcPr>
            <w:tcW w:w="2266" w:type="dxa"/>
            <w:vAlign w:val="center"/>
          </w:tcPr>
          <w:p w:rsidR="00991BA0" w:rsidRPr="00991BA0" w:rsidRDefault="00991BA0" w:rsidP="00991BA0">
            <w:pPr>
              <w:jc w:val="center"/>
              <w:rPr>
                <w:b/>
                <w:sz w:val="24"/>
                <w:szCs w:val="24"/>
              </w:rPr>
            </w:pPr>
            <w:r w:rsidRPr="00991BA0">
              <w:rPr>
                <w:b/>
                <w:sz w:val="24"/>
                <w:szCs w:val="24"/>
              </w:rPr>
              <w:t>Treść uwagi</w:t>
            </w:r>
          </w:p>
        </w:tc>
        <w:tc>
          <w:tcPr>
            <w:tcW w:w="2266" w:type="dxa"/>
            <w:vAlign w:val="center"/>
          </w:tcPr>
          <w:p w:rsidR="00991BA0" w:rsidRPr="00991BA0" w:rsidRDefault="00991BA0" w:rsidP="00991BA0">
            <w:pPr>
              <w:jc w:val="center"/>
              <w:rPr>
                <w:b/>
                <w:sz w:val="24"/>
                <w:szCs w:val="24"/>
              </w:rPr>
            </w:pPr>
            <w:r w:rsidRPr="00991BA0">
              <w:rPr>
                <w:b/>
                <w:sz w:val="24"/>
                <w:szCs w:val="24"/>
              </w:rPr>
              <w:t>Uzasadnienie uwagi</w:t>
            </w:r>
          </w:p>
        </w:tc>
      </w:tr>
      <w:tr w:rsidR="00991BA0" w:rsidRPr="00991BA0" w:rsidTr="00991BA0">
        <w:tc>
          <w:tcPr>
            <w:tcW w:w="562" w:type="dxa"/>
            <w:vAlign w:val="center"/>
          </w:tcPr>
          <w:p w:rsidR="00991BA0" w:rsidRPr="00991BA0" w:rsidRDefault="00991BA0" w:rsidP="00991BA0">
            <w:pPr>
              <w:jc w:val="center"/>
              <w:rPr>
                <w:b/>
                <w:sz w:val="24"/>
                <w:szCs w:val="24"/>
              </w:rPr>
            </w:pPr>
            <w:r w:rsidRPr="00991BA0">
              <w:rPr>
                <w:b/>
                <w:sz w:val="24"/>
                <w:szCs w:val="24"/>
              </w:rPr>
              <w:t>1.</w:t>
            </w:r>
          </w:p>
        </w:tc>
        <w:tc>
          <w:tcPr>
            <w:tcW w:w="3968" w:type="dxa"/>
          </w:tcPr>
          <w:p w:rsidR="00991BA0" w:rsidRPr="00991BA0" w:rsidRDefault="00991BA0" w:rsidP="00991BA0">
            <w:pPr>
              <w:rPr>
                <w:sz w:val="24"/>
                <w:szCs w:val="24"/>
              </w:rPr>
            </w:pPr>
          </w:p>
        </w:tc>
        <w:tc>
          <w:tcPr>
            <w:tcW w:w="2266" w:type="dxa"/>
          </w:tcPr>
          <w:p w:rsidR="00991BA0" w:rsidRPr="00991BA0" w:rsidRDefault="00991BA0" w:rsidP="00991BA0">
            <w:pPr>
              <w:rPr>
                <w:sz w:val="24"/>
                <w:szCs w:val="24"/>
              </w:rPr>
            </w:pPr>
          </w:p>
        </w:tc>
        <w:tc>
          <w:tcPr>
            <w:tcW w:w="2266" w:type="dxa"/>
          </w:tcPr>
          <w:p w:rsidR="00991BA0" w:rsidRPr="00991BA0" w:rsidRDefault="00991BA0" w:rsidP="00991BA0">
            <w:pPr>
              <w:rPr>
                <w:sz w:val="24"/>
                <w:szCs w:val="24"/>
              </w:rPr>
            </w:pPr>
          </w:p>
        </w:tc>
      </w:tr>
      <w:tr w:rsidR="00991BA0" w:rsidRPr="00991BA0" w:rsidTr="00991BA0">
        <w:tc>
          <w:tcPr>
            <w:tcW w:w="562" w:type="dxa"/>
            <w:vAlign w:val="center"/>
          </w:tcPr>
          <w:p w:rsidR="00991BA0" w:rsidRPr="00991BA0" w:rsidRDefault="00991BA0" w:rsidP="00991BA0">
            <w:pPr>
              <w:jc w:val="center"/>
              <w:rPr>
                <w:b/>
                <w:sz w:val="24"/>
                <w:szCs w:val="24"/>
              </w:rPr>
            </w:pPr>
            <w:r w:rsidRPr="00991BA0">
              <w:rPr>
                <w:b/>
                <w:sz w:val="24"/>
                <w:szCs w:val="24"/>
              </w:rPr>
              <w:t>2.</w:t>
            </w:r>
          </w:p>
        </w:tc>
        <w:tc>
          <w:tcPr>
            <w:tcW w:w="3968" w:type="dxa"/>
          </w:tcPr>
          <w:p w:rsidR="00991BA0" w:rsidRPr="00991BA0" w:rsidRDefault="00991BA0" w:rsidP="00991BA0">
            <w:pPr>
              <w:rPr>
                <w:sz w:val="24"/>
                <w:szCs w:val="24"/>
              </w:rPr>
            </w:pPr>
          </w:p>
        </w:tc>
        <w:tc>
          <w:tcPr>
            <w:tcW w:w="2266" w:type="dxa"/>
          </w:tcPr>
          <w:p w:rsidR="00991BA0" w:rsidRPr="00991BA0" w:rsidRDefault="00991BA0" w:rsidP="00991BA0">
            <w:pPr>
              <w:rPr>
                <w:sz w:val="24"/>
                <w:szCs w:val="24"/>
              </w:rPr>
            </w:pPr>
          </w:p>
        </w:tc>
        <w:tc>
          <w:tcPr>
            <w:tcW w:w="2266" w:type="dxa"/>
          </w:tcPr>
          <w:p w:rsidR="00991BA0" w:rsidRPr="00991BA0" w:rsidRDefault="00991BA0" w:rsidP="00991BA0">
            <w:pPr>
              <w:rPr>
                <w:sz w:val="24"/>
                <w:szCs w:val="24"/>
              </w:rPr>
            </w:pPr>
          </w:p>
        </w:tc>
      </w:tr>
      <w:tr w:rsidR="00991BA0" w:rsidRPr="00991BA0" w:rsidTr="00991BA0">
        <w:tc>
          <w:tcPr>
            <w:tcW w:w="562" w:type="dxa"/>
            <w:vAlign w:val="center"/>
          </w:tcPr>
          <w:p w:rsidR="00991BA0" w:rsidRPr="00991BA0" w:rsidRDefault="00991BA0" w:rsidP="00991BA0">
            <w:pPr>
              <w:jc w:val="center"/>
              <w:rPr>
                <w:b/>
                <w:sz w:val="24"/>
                <w:szCs w:val="24"/>
              </w:rPr>
            </w:pPr>
            <w:r w:rsidRPr="00991BA0">
              <w:rPr>
                <w:b/>
                <w:sz w:val="24"/>
                <w:szCs w:val="24"/>
              </w:rPr>
              <w:t>3.</w:t>
            </w:r>
          </w:p>
        </w:tc>
        <w:tc>
          <w:tcPr>
            <w:tcW w:w="3968" w:type="dxa"/>
          </w:tcPr>
          <w:p w:rsidR="00991BA0" w:rsidRPr="00991BA0" w:rsidRDefault="00991BA0" w:rsidP="00991BA0">
            <w:pPr>
              <w:rPr>
                <w:sz w:val="24"/>
                <w:szCs w:val="24"/>
              </w:rPr>
            </w:pPr>
          </w:p>
        </w:tc>
        <w:tc>
          <w:tcPr>
            <w:tcW w:w="2266" w:type="dxa"/>
          </w:tcPr>
          <w:p w:rsidR="00991BA0" w:rsidRPr="00991BA0" w:rsidRDefault="00991BA0" w:rsidP="00991BA0">
            <w:pPr>
              <w:rPr>
                <w:sz w:val="24"/>
                <w:szCs w:val="24"/>
              </w:rPr>
            </w:pPr>
          </w:p>
        </w:tc>
        <w:tc>
          <w:tcPr>
            <w:tcW w:w="2266" w:type="dxa"/>
          </w:tcPr>
          <w:p w:rsidR="00991BA0" w:rsidRPr="00991BA0" w:rsidRDefault="00991BA0" w:rsidP="00991BA0">
            <w:pPr>
              <w:rPr>
                <w:sz w:val="24"/>
                <w:szCs w:val="24"/>
              </w:rPr>
            </w:pPr>
          </w:p>
        </w:tc>
      </w:tr>
      <w:tr w:rsidR="00991BA0" w:rsidRPr="00991BA0" w:rsidTr="00991BA0">
        <w:tc>
          <w:tcPr>
            <w:tcW w:w="562" w:type="dxa"/>
            <w:vAlign w:val="center"/>
          </w:tcPr>
          <w:p w:rsidR="00991BA0" w:rsidRPr="00991BA0" w:rsidRDefault="00991BA0" w:rsidP="00991BA0">
            <w:pPr>
              <w:jc w:val="center"/>
              <w:rPr>
                <w:b/>
                <w:sz w:val="24"/>
                <w:szCs w:val="24"/>
              </w:rPr>
            </w:pPr>
            <w:r w:rsidRPr="00991BA0">
              <w:rPr>
                <w:b/>
                <w:sz w:val="24"/>
                <w:szCs w:val="24"/>
              </w:rPr>
              <w:t>4.</w:t>
            </w:r>
          </w:p>
        </w:tc>
        <w:tc>
          <w:tcPr>
            <w:tcW w:w="3968" w:type="dxa"/>
          </w:tcPr>
          <w:p w:rsidR="00991BA0" w:rsidRPr="00991BA0" w:rsidRDefault="00991BA0" w:rsidP="00991BA0">
            <w:pPr>
              <w:rPr>
                <w:sz w:val="24"/>
                <w:szCs w:val="24"/>
              </w:rPr>
            </w:pPr>
          </w:p>
        </w:tc>
        <w:tc>
          <w:tcPr>
            <w:tcW w:w="2266" w:type="dxa"/>
          </w:tcPr>
          <w:p w:rsidR="00991BA0" w:rsidRPr="00991BA0" w:rsidRDefault="00991BA0" w:rsidP="00991BA0">
            <w:pPr>
              <w:rPr>
                <w:sz w:val="24"/>
                <w:szCs w:val="24"/>
              </w:rPr>
            </w:pPr>
          </w:p>
        </w:tc>
        <w:tc>
          <w:tcPr>
            <w:tcW w:w="2266" w:type="dxa"/>
          </w:tcPr>
          <w:p w:rsidR="00991BA0" w:rsidRPr="00991BA0" w:rsidRDefault="00991BA0" w:rsidP="00991BA0">
            <w:pPr>
              <w:rPr>
                <w:sz w:val="24"/>
                <w:szCs w:val="24"/>
              </w:rPr>
            </w:pPr>
          </w:p>
        </w:tc>
      </w:tr>
      <w:tr w:rsidR="00991BA0" w:rsidRPr="00991BA0" w:rsidTr="00991BA0">
        <w:tc>
          <w:tcPr>
            <w:tcW w:w="562" w:type="dxa"/>
            <w:vAlign w:val="center"/>
          </w:tcPr>
          <w:p w:rsidR="00991BA0" w:rsidRPr="00991BA0" w:rsidRDefault="00991BA0" w:rsidP="00991BA0">
            <w:pPr>
              <w:jc w:val="center"/>
              <w:rPr>
                <w:b/>
                <w:sz w:val="24"/>
                <w:szCs w:val="24"/>
              </w:rPr>
            </w:pPr>
            <w:r w:rsidRPr="00991BA0">
              <w:rPr>
                <w:b/>
                <w:sz w:val="24"/>
                <w:szCs w:val="24"/>
              </w:rPr>
              <w:t>…</w:t>
            </w:r>
          </w:p>
        </w:tc>
        <w:tc>
          <w:tcPr>
            <w:tcW w:w="3968" w:type="dxa"/>
          </w:tcPr>
          <w:p w:rsidR="00991BA0" w:rsidRPr="00991BA0" w:rsidRDefault="00991BA0" w:rsidP="00991BA0">
            <w:pPr>
              <w:rPr>
                <w:sz w:val="24"/>
                <w:szCs w:val="24"/>
              </w:rPr>
            </w:pPr>
          </w:p>
        </w:tc>
        <w:tc>
          <w:tcPr>
            <w:tcW w:w="2266" w:type="dxa"/>
          </w:tcPr>
          <w:p w:rsidR="00991BA0" w:rsidRPr="00991BA0" w:rsidRDefault="00991BA0" w:rsidP="00991BA0">
            <w:pPr>
              <w:rPr>
                <w:sz w:val="24"/>
                <w:szCs w:val="24"/>
              </w:rPr>
            </w:pPr>
          </w:p>
        </w:tc>
        <w:tc>
          <w:tcPr>
            <w:tcW w:w="2266" w:type="dxa"/>
          </w:tcPr>
          <w:p w:rsidR="00991BA0" w:rsidRPr="00991BA0" w:rsidRDefault="00991BA0" w:rsidP="00991BA0">
            <w:pPr>
              <w:rPr>
                <w:sz w:val="24"/>
                <w:szCs w:val="24"/>
              </w:rPr>
            </w:pPr>
          </w:p>
        </w:tc>
      </w:tr>
    </w:tbl>
    <w:p w:rsidR="00991BA0" w:rsidRPr="00991BA0" w:rsidRDefault="00991BA0" w:rsidP="00991BA0">
      <w:pPr>
        <w:rPr>
          <w:b/>
          <w:sz w:val="24"/>
          <w:szCs w:val="24"/>
        </w:rPr>
      </w:pPr>
    </w:p>
    <w:p w:rsidR="00991BA0" w:rsidRDefault="00991BA0" w:rsidP="00991BA0">
      <w:pPr>
        <w:pStyle w:val="Akapitzlist"/>
        <w:numPr>
          <w:ilvl w:val="0"/>
          <w:numId w:val="1"/>
        </w:numPr>
        <w:rPr>
          <w:b/>
          <w:sz w:val="24"/>
          <w:szCs w:val="24"/>
        </w:rPr>
      </w:pPr>
      <w:r>
        <w:rPr>
          <w:b/>
          <w:sz w:val="24"/>
          <w:szCs w:val="24"/>
        </w:rPr>
        <w:t>Informacja o zgłaszającym:</w:t>
      </w:r>
    </w:p>
    <w:p w:rsidR="00991BA0" w:rsidRDefault="00991BA0" w:rsidP="00991BA0">
      <w:pPr>
        <w:pStyle w:val="Akapitzlist"/>
        <w:rPr>
          <w:b/>
          <w:sz w:val="24"/>
          <w:szCs w:val="24"/>
        </w:rPr>
      </w:pPr>
    </w:p>
    <w:p w:rsidR="00C24DA9" w:rsidRDefault="00991BA0" w:rsidP="00C24DA9">
      <w:pPr>
        <w:pStyle w:val="Akapitzlist"/>
        <w:numPr>
          <w:ilvl w:val="0"/>
          <w:numId w:val="3"/>
        </w:numPr>
        <w:rPr>
          <w:sz w:val="24"/>
          <w:szCs w:val="24"/>
        </w:rPr>
      </w:pPr>
      <w:r w:rsidRPr="00991BA0">
        <w:rPr>
          <w:sz w:val="24"/>
          <w:szCs w:val="24"/>
        </w:rPr>
        <w:t>Imię i nazwisko/nazwa organizacji:</w:t>
      </w:r>
    </w:p>
    <w:p w:rsidR="00C24DA9" w:rsidRPr="00C24DA9" w:rsidRDefault="00C24DA9" w:rsidP="00C24DA9">
      <w:pPr>
        <w:pStyle w:val="Akapitzlist"/>
        <w:ind w:left="1440"/>
        <w:rPr>
          <w:sz w:val="24"/>
          <w:szCs w:val="24"/>
        </w:rPr>
      </w:pPr>
    </w:p>
    <w:p w:rsidR="00C24DA9" w:rsidRDefault="00C24DA9" w:rsidP="00C24DA9">
      <w:pPr>
        <w:pStyle w:val="Akapitzlist"/>
        <w:numPr>
          <w:ilvl w:val="0"/>
          <w:numId w:val="3"/>
        </w:numPr>
        <w:spacing w:after="0"/>
        <w:rPr>
          <w:sz w:val="24"/>
          <w:szCs w:val="24"/>
        </w:rPr>
      </w:pPr>
      <w:r>
        <w:rPr>
          <w:sz w:val="24"/>
          <w:szCs w:val="24"/>
        </w:rPr>
        <w:t>E-mail:</w:t>
      </w:r>
    </w:p>
    <w:p w:rsidR="00C24DA9" w:rsidRPr="00C24DA9" w:rsidRDefault="00C24DA9" w:rsidP="00C24DA9">
      <w:pPr>
        <w:pStyle w:val="Akapitzlist"/>
        <w:spacing w:after="0"/>
        <w:ind w:left="1440"/>
        <w:rPr>
          <w:sz w:val="24"/>
          <w:szCs w:val="24"/>
        </w:rPr>
      </w:pPr>
    </w:p>
    <w:p w:rsidR="00C24DA9" w:rsidRDefault="00C24DA9" w:rsidP="00C24DA9">
      <w:pPr>
        <w:pStyle w:val="Akapitzlist"/>
        <w:numPr>
          <w:ilvl w:val="0"/>
          <w:numId w:val="3"/>
        </w:numPr>
        <w:spacing w:after="0"/>
        <w:rPr>
          <w:sz w:val="24"/>
          <w:szCs w:val="24"/>
        </w:rPr>
      </w:pPr>
      <w:r>
        <w:rPr>
          <w:sz w:val="24"/>
          <w:szCs w:val="24"/>
        </w:rPr>
        <w:t>Telefon:</w:t>
      </w:r>
    </w:p>
    <w:p w:rsidR="00C24DA9" w:rsidRPr="00C24DA9" w:rsidRDefault="00C24DA9" w:rsidP="00C24DA9">
      <w:pPr>
        <w:pStyle w:val="Akapitzlist"/>
        <w:rPr>
          <w:sz w:val="24"/>
          <w:szCs w:val="24"/>
        </w:rPr>
      </w:pPr>
    </w:p>
    <w:p w:rsidR="00C24DA9" w:rsidRDefault="00C24DA9" w:rsidP="00C24DA9">
      <w:pPr>
        <w:pStyle w:val="Akapitzlist"/>
        <w:numPr>
          <w:ilvl w:val="0"/>
          <w:numId w:val="3"/>
        </w:numPr>
        <w:spacing w:after="0"/>
        <w:rPr>
          <w:sz w:val="24"/>
          <w:szCs w:val="24"/>
        </w:rPr>
      </w:pPr>
      <w:r>
        <w:rPr>
          <w:sz w:val="24"/>
          <w:szCs w:val="24"/>
        </w:rPr>
        <w:t>Adres korespondencyjny:</w:t>
      </w:r>
    </w:p>
    <w:p w:rsidR="00C24DA9" w:rsidRPr="00C24DA9" w:rsidRDefault="00C24DA9" w:rsidP="00C24DA9">
      <w:pPr>
        <w:pStyle w:val="Akapitzlist"/>
        <w:rPr>
          <w:sz w:val="24"/>
          <w:szCs w:val="24"/>
        </w:rPr>
      </w:pPr>
    </w:p>
    <w:p w:rsidR="00C24DA9" w:rsidRDefault="00C24DA9" w:rsidP="00C24DA9">
      <w:pPr>
        <w:spacing w:after="0"/>
        <w:rPr>
          <w:sz w:val="24"/>
          <w:szCs w:val="24"/>
        </w:rPr>
      </w:pPr>
    </w:p>
    <w:p w:rsidR="00C24DA9" w:rsidRPr="00C24DA9" w:rsidRDefault="00C24DA9" w:rsidP="00C24DA9">
      <w:pPr>
        <w:spacing w:after="0"/>
        <w:rPr>
          <w:sz w:val="24"/>
          <w:szCs w:val="24"/>
        </w:rPr>
      </w:pPr>
    </w:p>
    <w:p w:rsidR="00C24DA9" w:rsidRPr="00C24DA9" w:rsidRDefault="00C24DA9" w:rsidP="00C24DA9">
      <w:pPr>
        <w:pStyle w:val="Akapitzlist"/>
        <w:spacing w:after="0"/>
        <w:ind w:left="1440"/>
        <w:rPr>
          <w:sz w:val="24"/>
          <w:szCs w:val="24"/>
        </w:rPr>
      </w:pPr>
    </w:p>
    <w:p w:rsidR="00C24DA9" w:rsidRDefault="00C24DA9" w:rsidP="00C24DA9">
      <w:pPr>
        <w:spacing w:after="0"/>
        <w:rPr>
          <w:sz w:val="24"/>
          <w:szCs w:val="24"/>
        </w:rPr>
      </w:pPr>
    </w:p>
    <w:p w:rsidR="00C24DA9" w:rsidRDefault="00C24DA9" w:rsidP="00C24DA9">
      <w:pPr>
        <w:spacing w:after="0"/>
        <w:jc w:val="both"/>
        <w:rPr>
          <w:rFonts w:eastAsia="Arial Unicode MS"/>
          <w:snapToGrid w:val="0"/>
          <w:sz w:val="20"/>
          <w:szCs w:val="20"/>
          <w:lang w:eastAsia="lt-LT"/>
        </w:rPr>
      </w:pPr>
      <w:r>
        <w:rPr>
          <w:b/>
          <w:snapToGrid w:val="0"/>
          <w:sz w:val="18"/>
          <w:szCs w:val="18"/>
          <w:lang w:val="en-GB" w:eastAsia="lt-LT"/>
        </w:rPr>
        <w:fldChar w:fldCharType="begin">
          <w:ffData>
            <w:name w:val="Wybór1"/>
            <w:enabled/>
            <w:calcOnExit w:val="0"/>
            <w:checkBox>
              <w:size w:val="24"/>
              <w:default w:val="1"/>
            </w:checkBox>
          </w:ffData>
        </w:fldChar>
      </w:r>
      <w:bookmarkStart w:id="0" w:name="Wybór1"/>
      <w:r w:rsidRPr="008D7DC8">
        <w:rPr>
          <w:b/>
          <w:snapToGrid w:val="0"/>
          <w:sz w:val="18"/>
          <w:szCs w:val="18"/>
          <w:lang w:eastAsia="lt-LT"/>
        </w:rPr>
        <w:instrText xml:space="preserve"> FORMCHECKBOX </w:instrText>
      </w:r>
      <w:r w:rsidR="00B46456">
        <w:rPr>
          <w:b/>
          <w:snapToGrid w:val="0"/>
          <w:sz w:val="18"/>
          <w:szCs w:val="18"/>
          <w:lang w:val="en-GB" w:eastAsia="lt-LT"/>
        </w:rPr>
      </w:r>
      <w:r w:rsidR="00B46456">
        <w:rPr>
          <w:b/>
          <w:snapToGrid w:val="0"/>
          <w:sz w:val="18"/>
          <w:szCs w:val="18"/>
          <w:lang w:val="en-GB" w:eastAsia="lt-LT"/>
        </w:rPr>
        <w:fldChar w:fldCharType="separate"/>
      </w:r>
      <w:r>
        <w:rPr>
          <w:b/>
          <w:snapToGrid w:val="0"/>
          <w:sz w:val="18"/>
          <w:szCs w:val="18"/>
          <w:lang w:val="en-GB" w:eastAsia="lt-LT"/>
        </w:rPr>
        <w:fldChar w:fldCharType="end"/>
      </w:r>
      <w:bookmarkEnd w:id="0"/>
      <w:r w:rsidRPr="005F4B8C">
        <w:rPr>
          <w:b/>
          <w:snapToGrid w:val="0"/>
          <w:sz w:val="18"/>
          <w:szCs w:val="18"/>
          <w:lang w:eastAsia="lt-LT"/>
        </w:rPr>
        <w:t xml:space="preserve"> </w:t>
      </w:r>
      <w:r w:rsidRPr="00DF63D3">
        <w:rPr>
          <w:sz w:val="20"/>
          <w:szCs w:val="20"/>
        </w:rPr>
        <w:t>Wyrażam zgodę na przetwarzanie moich danych osobowych zawartych w niniejszym formularzu dla potr</w:t>
      </w:r>
      <w:r>
        <w:rPr>
          <w:sz w:val="20"/>
          <w:szCs w:val="20"/>
        </w:rPr>
        <w:t xml:space="preserve">zeb </w:t>
      </w:r>
      <w:r w:rsidRPr="00DF63D3">
        <w:rPr>
          <w:sz w:val="20"/>
          <w:szCs w:val="20"/>
        </w:rPr>
        <w:t>przeprowadzenia konsultacji społecznych projektu dokumentu pn.:</w:t>
      </w:r>
      <w:r>
        <w:rPr>
          <w:sz w:val="20"/>
          <w:szCs w:val="20"/>
        </w:rPr>
        <w:t xml:space="preserve"> </w:t>
      </w:r>
      <w:r w:rsidRPr="00246318">
        <w:rPr>
          <w:sz w:val="20"/>
          <w:szCs w:val="20"/>
        </w:rPr>
        <w:t>Diagnoza czynników i zjawisk kryzysowych, skali i charakteru potrzeb rewitalizacyjnych w Gminie Kalwaria Zebrzydowska".</w:t>
      </w:r>
      <w:r>
        <w:rPr>
          <w:sz w:val="20"/>
          <w:szCs w:val="20"/>
        </w:rPr>
        <w:t xml:space="preserve">, </w:t>
      </w:r>
      <w:r w:rsidRPr="00DF63D3">
        <w:rPr>
          <w:sz w:val="20"/>
          <w:szCs w:val="20"/>
        </w:rPr>
        <w:t>zgodnie z ustawą z dnia 29 sierpnia 1997 roku</w:t>
      </w:r>
      <w:r>
        <w:rPr>
          <w:sz w:val="20"/>
          <w:szCs w:val="20"/>
        </w:rPr>
        <w:t xml:space="preserve"> o ochronie danych osobowych </w:t>
      </w:r>
      <w:r w:rsidRPr="00D43DFA">
        <w:rPr>
          <w:sz w:val="18"/>
          <w:szCs w:val="18"/>
        </w:rPr>
        <w:t>(Dz. U</w:t>
      </w:r>
      <w:r>
        <w:rPr>
          <w:sz w:val="18"/>
          <w:szCs w:val="18"/>
        </w:rPr>
        <w:t xml:space="preserve">. z 2002 r., Nr 101, poz. 926 z </w:t>
      </w:r>
      <w:proofErr w:type="spellStart"/>
      <w:r>
        <w:rPr>
          <w:sz w:val="18"/>
          <w:szCs w:val="18"/>
        </w:rPr>
        <w:t>późn</w:t>
      </w:r>
      <w:proofErr w:type="spellEnd"/>
      <w:r>
        <w:rPr>
          <w:sz w:val="18"/>
          <w:szCs w:val="18"/>
        </w:rPr>
        <w:t>.</w:t>
      </w:r>
      <w:r w:rsidRPr="00D43DFA">
        <w:rPr>
          <w:sz w:val="18"/>
          <w:szCs w:val="18"/>
        </w:rPr>
        <w:t xml:space="preserve"> zm.)</w:t>
      </w:r>
      <w:r w:rsidRPr="00D43DFA">
        <w:rPr>
          <w:rFonts w:eastAsia="Arial Unicode MS"/>
          <w:snapToGrid w:val="0"/>
          <w:sz w:val="18"/>
          <w:szCs w:val="18"/>
          <w:lang w:eastAsia="lt-LT"/>
        </w:rPr>
        <w:t>.</w:t>
      </w:r>
      <w:r>
        <w:rPr>
          <w:rFonts w:eastAsia="Arial Unicode MS"/>
          <w:snapToGrid w:val="0"/>
          <w:sz w:val="20"/>
          <w:szCs w:val="20"/>
          <w:lang w:eastAsia="lt-LT"/>
        </w:rPr>
        <w:t xml:space="preserve">         </w:t>
      </w:r>
    </w:p>
    <w:p w:rsidR="00C24DA9" w:rsidRDefault="00C24DA9" w:rsidP="00C24DA9">
      <w:pPr>
        <w:spacing w:after="0"/>
        <w:jc w:val="both"/>
        <w:rPr>
          <w:sz w:val="24"/>
          <w:szCs w:val="24"/>
        </w:rPr>
      </w:pPr>
    </w:p>
    <w:p w:rsidR="00991BA0" w:rsidRPr="00C24DA9" w:rsidRDefault="00991BA0" w:rsidP="00C24DA9">
      <w:pPr>
        <w:spacing w:after="0"/>
        <w:jc w:val="right"/>
        <w:rPr>
          <w:sz w:val="24"/>
          <w:szCs w:val="24"/>
        </w:rPr>
      </w:pPr>
      <w:r w:rsidRPr="00C24DA9">
        <w:rPr>
          <w:sz w:val="24"/>
          <w:szCs w:val="24"/>
        </w:rPr>
        <w:t>D</w:t>
      </w:r>
      <w:r w:rsidR="00C24DA9" w:rsidRPr="00C24DA9">
        <w:rPr>
          <w:sz w:val="24"/>
          <w:szCs w:val="24"/>
        </w:rPr>
        <w:t>ata i p</w:t>
      </w:r>
      <w:r w:rsidRPr="00C24DA9">
        <w:rPr>
          <w:sz w:val="24"/>
          <w:szCs w:val="24"/>
        </w:rPr>
        <w:t>odpis:</w:t>
      </w:r>
    </w:p>
    <w:p w:rsidR="00D44174" w:rsidRDefault="00D44174" w:rsidP="00D44174">
      <w:pPr>
        <w:rPr>
          <w:sz w:val="24"/>
          <w:szCs w:val="24"/>
        </w:rPr>
      </w:pPr>
    </w:p>
    <w:p w:rsidR="003803BA" w:rsidRDefault="003803BA" w:rsidP="00270F4D">
      <w:pPr>
        <w:jc w:val="both"/>
        <w:rPr>
          <w:sz w:val="24"/>
          <w:szCs w:val="24"/>
        </w:rPr>
      </w:pPr>
    </w:p>
    <w:p w:rsidR="003803BA" w:rsidRDefault="003803BA" w:rsidP="00270F4D">
      <w:pPr>
        <w:jc w:val="both"/>
        <w:rPr>
          <w:sz w:val="24"/>
          <w:szCs w:val="24"/>
        </w:rPr>
      </w:pPr>
    </w:p>
    <w:p w:rsidR="003803BA" w:rsidRDefault="003803BA" w:rsidP="00270F4D">
      <w:pPr>
        <w:jc w:val="both"/>
        <w:rPr>
          <w:sz w:val="24"/>
          <w:szCs w:val="24"/>
        </w:rPr>
      </w:pPr>
    </w:p>
    <w:p w:rsidR="003803BA" w:rsidRDefault="003803BA" w:rsidP="00270F4D">
      <w:pPr>
        <w:jc w:val="both"/>
        <w:rPr>
          <w:sz w:val="24"/>
          <w:szCs w:val="24"/>
        </w:rPr>
      </w:pPr>
    </w:p>
    <w:p w:rsidR="00270F4D" w:rsidRPr="00270F4D" w:rsidRDefault="00270F4D" w:rsidP="00270F4D">
      <w:pPr>
        <w:jc w:val="both"/>
        <w:rPr>
          <w:sz w:val="24"/>
          <w:szCs w:val="24"/>
        </w:rPr>
      </w:pPr>
      <w:bookmarkStart w:id="1" w:name="_GoBack"/>
      <w:bookmarkEnd w:id="1"/>
      <w:r w:rsidRPr="00270F4D">
        <w:rPr>
          <w:sz w:val="24"/>
          <w:szCs w:val="24"/>
        </w:rPr>
        <w:t>Uwagi, opinie i propozycje nie będą rozpatrywane, jeżeli:</w:t>
      </w:r>
    </w:p>
    <w:p w:rsidR="00270F4D" w:rsidRPr="00270F4D" w:rsidRDefault="00270F4D" w:rsidP="00270F4D">
      <w:pPr>
        <w:numPr>
          <w:ilvl w:val="0"/>
          <w:numId w:val="5"/>
        </w:numPr>
        <w:contextualSpacing/>
        <w:jc w:val="both"/>
        <w:rPr>
          <w:sz w:val="24"/>
          <w:szCs w:val="24"/>
        </w:rPr>
      </w:pPr>
      <w:r w:rsidRPr="00270F4D">
        <w:rPr>
          <w:sz w:val="24"/>
          <w:szCs w:val="24"/>
        </w:rPr>
        <w:t>ich data wpływu miała miejsce przed dniem 14.11.2016 r. lub po dniu 14.12.2016 r.</w:t>
      </w:r>
    </w:p>
    <w:p w:rsidR="00270F4D" w:rsidRPr="00270F4D" w:rsidRDefault="00270F4D" w:rsidP="00270F4D">
      <w:pPr>
        <w:numPr>
          <w:ilvl w:val="0"/>
          <w:numId w:val="5"/>
        </w:numPr>
        <w:contextualSpacing/>
        <w:jc w:val="both"/>
        <w:rPr>
          <w:sz w:val="24"/>
          <w:szCs w:val="24"/>
        </w:rPr>
      </w:pPr>
      <w:r w:rsidRPr="00270F4D">
        <w:rPr>
          <w:sz w:val="24"/>
          <w:szCs w:val="24"/>
        </w:rPr>
        <w:t>niepodpisane czytelnym imieniem i nazwiskiem.</w:t>
      </w:r>
    </w:p>
    <w:p w:rsidR="00C24DA9" w:rsidRDefault="00C24DA9" w:rsidP="00007D1F">
      <w:pPr>
        <w:jc w:val="both"/>
        <w:rPr>
          <w:sz w:val="24"/>
          <w:szCs w:val="24"/>
        </w:rPr>
      </w:pPr>
    </w:p>
    <w:p w:rsidR="009521FC" w:rsidRDefault="00D44174" w:rsidP="00007D1F">
      <w:pPr>
        <w:jc w:val="both"/>
        <w:rPr>
          <w:sz w:val="24"/>
          <w:szCs w:val="24"/>
        </w:rPr>
      </w:pPr>
      <w:r>
        <w:rPr>
          <w:sz w:val="24"/>
          <w:szCs w:val="24"/>
        </w:rPr>
        <w:t xml:space="preserve">Wypełniony formularz należy przesłać na adres: </w:t>
      </w:r>
      <w:hyperlink r:id="rId7" w:history="1">
        <w:r w:rsidR="00007D1F" w:rsidRPr="002F12F9">
          <w:rPr>
            <w:rStyle w:val="Hipercze"/>
            <w:sz w:val="24"/>
            <w:szCs w:val="24"/>
          </w:rPr>
          <w:t>rewitalizacja@kalwaria-zebrzydowska.pl</w:t>
        </w:r>
      </w:hyperlink>
      <w:r w:rsidR="00007D1F">
        <w:rPr>
          <w:sz w:val="24"/>
          <w:szCs w:val="24"/>
        </w:rPr>
        <w:t xml:space="preserve"> lub złożyć </w:t>
      </w:r>
      <w:r w:rsidR="009521FC">
        <w:rPr>
          <w:sz w:val="24"/>
          <w:szCs w:val="24"/>
        </w:rPr>
        <w:t xml:space="preserve">do urny (Urząd Miasta Kalwarii Zebrzydowskiej, ul. Mickiewicza 7 lub Centrum Kultury, Sportu i Turystyki w Kalwarii Zebrzydowskiej, ul. Mickiewicza 4) lub </w:t>
      </w:r>
      <w:r w:rsidR="00007D1F">
        <w:rPr>
          <w:sz w:val="24"/>
          <w:szCs w:val="24"/>
        </w:rPr>
        <w:t>na Dzienniku Podawczym Urzędu Miasta Kalwarii Zebr</w:t>
      </w:r>
      <w:r w:rsidR="009521FC">
        <w:rPr>
          <w:sz w:val="24"/>
          <w:szCs w:val="24"/>
        </w:rPr>
        <w:t xml:space="preserve">zydowskiej, ul. Mickiewicza 7, </w:t>
      </w:r>
      <w:r w:rsidR="00007D1F">
        <w:rPr>
          <w:sz w:val="24"/>
          <w:szCs w:val="24"/>
        </w:rPr>
        <w:t>34-130 Kalwaria Zebrzydowska.</w:t>
      </w:r>
    </w:p>
    <w:p w:rsidR="00270F4D" w:rsidRDefault="00270F4D" w:rsidP="00007D1F">
      <w:pPr>
        <w:jc w:val="both"/>
        <w:rPr>
          <w:sz w:val="24"/>
          <w:szCs w:val="24"/>
        </w:rPr>
      </w:pPr>
    </w:p>
    <w:p w:rsidR="00007D1F" w:rsidRPr="009521FC" w:rsidRDefault="00007D1F" w:rsidP="00007D1F">
      <w:pPr>
        <w:jc w:val="both"/>
        <w:rPr>
          <w:sz w:val="24"/>
          <w:szCs w:val="24"/>
        </w:rPr>
      </w:pPr>
      <w:r w:rsidRPr="00007D1F">
        <w:rPr>
          <w:i/>
          <w:sz w:val="24"/>
          <w:szCs w:val="24"/>
        </w:rPr>
        <w:t>Objaśnienia:</w:t>
      </w:r>
    </w:p>
    <w:p w:rsidR="00007D1F" w:rsidRDefault="00007D1F" w:rsidP="00007D1F">
      <w:pPr>
        <w:pStyle w:val="Default"/>
        <w:jc w:val="both"/>
        <w:rPr>
          <w:rFonts w:asciiTheme="minorHAnsi" w:hAnsiTheme="minorHAnsi"/>
        </w:rPr>
      </w:pPr>
      <w:r w:rsidRPr="00007D1F">
        <w:rPr>
          <w:rFonts w:asciiTheme="minorHAnsi" w:hAnsiTheme="minorHAnsi"/>
          <w:b/>
        </w:rPr>
        <w:t xml:space="preserve">REWITALIZACJA </w:t>
      </w:r>
      <w:r w:rsidR="00316D58">
        <w:rPr>
          <w:rFonts w:asciiTheme="minorHAnsi" w:hAnsiTheme="minorHAnsi"/>
        </w:rPr>
        <w:t>-</w:t>
      </w:r>
      <w:r w:rsidRPr="00007D1F">
        <w:rPr>
          <w:rFonts w:asciiTheme="minorHAnsi" w:hAnsiTheme="minorHAnsi"/>
        </w:rPr>
        <w:t xml:space="preserve"> stanowi proces wyprowadzania ze stanu kryzysowego obszarów zdegradowanych, prowadzony w sposób kompleksowy, poprzez zintegrowane działania na rzecz lokalnej społeczności, przestrzeni i gospodarki, skoncentrowane terytorialnie, prowadzone przez interesariuszy rewitalizacji na podstawie gminnego programu rewitalizacji</w:t>
      </w:r>
      <w:r w:rsidR="006E5AA8">
        <w:rPr>
          <w:rFonts w:asciiTheme="minorHAnsi" w:hAnsiTheme="minorHAnsi"/>
        </w:rPr>
        <w:t>.</w:t>
      </w:r>
    </w:p>
    <w:p w:rsidR="006E5AA8" w:rsidRDefault="006E5AA8" w:rsidP="00007D1F">
      <w:pPr>
        <w:pStyle w:val="Default"/>
        <w:jc w:val="both"/>
        <w:rPr>
          <w:rFonts w:asciiTheme="minorHAnsi" w:hAnsiTheme="minorHAnsi"/>
        </w:rPr>
      </w:pPr>
    </w:p>
    <w:p w:rsidR="006E5AA8" w:rsidRPr="006E5AA8" w:rsidRDefault="006E5AA8" w:rsidP="006E5AA8">
      <w:pPr>
        <w:pStyle w:val="Default"/>
        <w:jc w:val="both"/>
        <w:rPr>
          <w:rFonts w:asciiTheme="minorHAnsi" w:hAnsiTheme="minorHAnsi"/>
        </w:rPr>
      </w:pPr>
      <w:r w:rsidRPr="006E5AA8">
        <w:rPr>
          <w:rFonts w:asciiTheme="minorHAnsi" w:hAnsiTheme="minorHAnsi"/>
          <w:b/>
        </w:rPr>
        <w:t>OBSZAR ZDEGRADOWANY</w:t>
      </w:r>
      <w:r>
        <w:rPr>
          <w:rFonts w:asciiTheme="minorHAnsi" w:hAnsiTheme="minorHAnsi"/>
        </w:rPr>
        <w:t xml:space="preserve"> - </w:t>
      </w:r>
      <w:r w:rsidRPr="006E5AA8">
        <w:rPr>
          <w:rFonts w:asciiTheme="minorHAnsi" w:hAnsiTheme="minorHAnsi"/>
        </w:rPr>
        <w:t xml:space="preserve">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 występowania na nim ponadto co najmniej jednego z następujących negatywnych zjawisk: </w:t>
      </w:r>
    </w:p>
    <w:p w:rsidR="006E5AA8" w:rsidRDefault="006E5AA8" w:rsidP="006E5AA8">
      <w:pPr>
        <w:pStyle w:val="Default"/>
        <w:numPr>
          <w:ilvl w:val="0"/>
          <w:numId w:val="4"/>
        </w:numPr>
        <w:jc w:val="both"/>
        <w:rPr>
          <w:rFonts w:asciiTheme="minorHAnsi" w:hAnsiTheme="minorHAnsi"/>
        </w:rPr>
      </w:pPr>
      <w:r w:rsidRPr="006E5AA8">
        <w:rPr>
          <w:rFonts w:asciiTheme="minorHAnsi" w:hAnsiTheme="minorHAnsi"/>
        </w:rPr>
        <w:t xml:space="preserve">gospodarczych – w szczególności niskiego stopnia przedsiębiorczości, słabej kondycji lokalnych przedsiębiorstw lub </w:t>
      </w:r>
    </w:p>
    <w:p w:rsidR="006E5AA8" w:rsidRDefault="006E5AA8" w:rsidP="006E5AA8">
      <w:pPr>
        <w:pStyle w:val="Default"/>
        <w:numPr>
          <w:ilvl w:val="0"/>
          <w:numId w:val="4"/>
        </w:numPr>
        <w:jc w:val="both"/>
        <w:rPr>
          <w:rFonts w:asciiTheme="minorHAnsi" w:hAnsiTheme="minorHAnsi"/>
        </w:rPr>
      </w:pPr>
      <w:r w:rsidRPr="006E5AA8">
        <w:rPr>
          <w:rFonts w:asciiTheme="minorHAnsi" w:hAnsiTheme="minorHAnsi"/>
        </w:rPr>
        <w:t xml:space="preserve">środowiskowych – w szczególności przekroczenia standardów jakości środowiska, obecności odpadów stwarzających zagrożenie dla życia, zdrowia ludzi lub stanu środowiska, lub </w:t>
      </w:r>
    </w:p>
    <w:p w:rsidR="006E5AA8" w:rsidRDefault="006E5AA8" w:rsidP="006E5AA8">
      <w:pPr>
        <w:pStyle w:val="Default"/>
        <w:numPr>
          <w:ilvl w:val="0"/>
          <w:numId w:val="4"/>
        </w:numPr>
        <w:jc w:val="both"/>
        <w:rPr>
          <w:rFonts w:asciiTheme="minorHAnsi" w:hAnsiTheme="minorHAnsi"/>
          <w:color w:val="auto"/>
        </w:rPr>
      </w:pPr>
      <w:r w:rsidRPr="006E5AA8">
        <w:rPr>
          <w:rFonts w:asciiTheme="minorHAnsi" w:hAnsiTheme="minorHAnsi"/>
        </w:rPr>
        <w:lastRenderedPageBreak/>
        <w:t xml:space="preserve">przestrzenno-funkcjonalnych – w szczególności niewystarczającego wyposażenia </w:t>
      </w:r>
      <w:r>
        <w:rPr>
          <w:rFonts w:asciiTheme="minorHAnsi" w:hAnsiTheme="minorHAnsi"/>
        </w:rPr>
        <w:br/>
      </w:r>
      <w:r w:rsidRPr="006E5AA8">
        <w:rPr>
          <w:rFonts w:asciiTheme="minorHAnsi" w:hAnsiTheme="minorHAnsi"/>
        </w:rPr>
        <w:t xml:space="preserve">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 </w:t>
      </w:r>
    </w:p>
    <w:p w:rsidR="006E5AA8" w:rsidRDefault="006E5AA8" w:rsidP="006E5AA8">
      <w:pPr>
        <w:pStyle w:val="Default"/>
        <w:numPr>
          <w:ilvl w:val="0"/>
          <w:numId w:val="4"/>
        </w:numPr>
        <w:jc w:val="both"/>
        <w:rPr>
          <w:rFonts w:asciiTheme="minorHAnsi" w:hAnsiTheme="minorHAnsi"/>
          <w:color w:val="auto"/>
        </w:rPr>
      </w:pPr>
      <w:r w:rsidRPr="006E5AA8">
        <w:rPr>
          <w:rFonts w:asciiTheme="minorHAnsi" w:hAnsiTheme="minorHAnsi"/>
          <w:color w:val="auto"/>
        </w:rPr>
        <w:t xml:space="preserve">technicznych – w szczególności degradacji stanu technicznego obiektów budowlanych, w tym o przeznaczeniu mieszkaniowym, oraz niefunkcjonowaniu rozwiązań technicznych umożliwiających efektywne korzystanie z obiektów budowlanych, </w:t>
      </w:r>
      <w:r>
        <w:rPr>
          <w:rFonts w:asciiTheme="minorHAnsi" w:hAnsiTheme="minorHAnsi"/>
          <w:color w:val="auto"/>
        </w:rPr>
        <w:br/>
      </w:r>
      <w:r w:rsidRPr="006E5AA8">
        <w:rPr>
          <w:rFonts w:asciiTheme="minorHAnsi" w:hAnsiTheme="minorHAnsi"/>
          <w:color w:val="auto"/>
        </w:rPr>
        <w:t>w szczególności w zakresie energooszczędności i ochrony środowiska.</w:t>
      </w:r>
    </w:p>
    <w:p w:rsidR="006E5AA8" w:rsidRDefault="006E5AA8" w:rsidP="006E5AA8">
      <w:pPr>
        <w:pStyle w:val="Default"/>
        <w:jc w:val="both"/>
        <w:rPr>
          <w:rFonts w:asciiTheme="minorHAnsi" w:hAnsiTheme="minorHAnsi"/>
          <w:color w:val="auto"/>
        </w:rPr>
      </w:pPr>
    </w:p>
    <w:p w:rsidR="006E5AA8" w:rsidRPr="006E5AA8" w:rsidRDefault="006E5AA8" w:rsidP="006E5AA8">
      <w:pPr>
        <w:pStyle w:val="Default"/>
        <w:jc w:val="both"/>
        <w:rPr>
          <w:rFonts w:asciiTheme="minorHAnsi" w:hAnsiTheme="minorHAnsi"/>
          <w:color w:val="auto"/>
        </w:rPr>
      </w:pPr>
      <w:r w:rsidRPr="006E5AA8">
        <w:rPr>
          <w:rFonts w:asciiTheme="minorHAnsi" w:hAnsiTheme="minorHAnsi"/>
          <w:b/>
          <w:color w:val="auto"/>
        </w:rPr>
        <w:t>OBSZAR REWITALIZACJI</w:t>
      </w:r>
      <w:r>
        <w:rPr>
          <w:rFonts w:asciiTheme="minorHAnsi" w:hAnsiTheme="minorHAnsi"/>
          <w:color w:val="auto"/>
        </w:rPr>
        <w:t xml:space="preserve"> - </w:t>
      </w:r>
      <w:r>
        <w:rPr>
          <w:rFonts w:asciiTheme="minorHAnsi" w:hAnsiTheme="minorHAnsi"/>
        </w:rPr>
        <w:t>o</w:t>
      </w:r>
      <w:r w:rsidRPr="006E5AA8">
        <w:rPr>
          <w:rFonts w:asciiTheme="minorHAnsi" w:hAnsiTheme="minorHAnsi"/>
        </w:rPr>
        <w:t>bszar obejmujący całość lub część obszaru zdegradowanego, cechujący się szczególną koncentracją negatywnych zjawisk</w:t>
      </w:r>
      <w:r>
        <w:rPr>
          <w:rFonts w:asciiTheme="minorHAnsi" w:hAnsiTheme="minorHAnsi"/>
        </w:rPr>
        <w:t xml:space="preserve"> społecznych oraz gospodarczych</w:t>
      </w:r>
      <w:r w:rsidRPr="006E5AA8">
        <w:rPr>
          <w:rFonts w:asciiTheme="minorHAnsi" w:hAnsiTheme="minorHAnsi"/>
        </w:rPr>
        <w:t>,</w:t>
      </w:r>
      <w:r>
        <w:rPr>
          <w:rFonts w:asciiTheme="minorHAnsi" w:hAnsiTheme="minorHAnsi"/>
        </w:rPr>
        <w:t xml:space="preserve"> środowiskowych, przestrzenno-funkcjonalnych lub technicznych,</w:t>
      </w:r>
      <w:r w:rsidRPr="006E5AA8">
        <w:rPr>
          <w:rFonts w:asciiTheme="minorHAnsi" w:hAnsiTheme="minorHAnsi"/>
        </w:rPr>
        <w:t xml:space="preserve"> na którym z uwagi na istotne znaczenie dla rozwoju lokalnego gmina zamierza prowadzić rewitalizację, wyznacza się jako obszar rewitalizacji.</w:t>
      </w:r>
      <w:r w:rsidRPr="006E5AA8">
        <w:rPr>
          <w:sz w:val="23"/>
          <w:szCs w:val="23"/>
        </w:rPr>
        <w:t xml:space="preserve"> </w:t>
      </w:r>
      <w:r w:rsidRPr="006E5AA8">
        <w:rPr>
          <w:rFonts w:asciiTheme="minorHAnsi" w:hAnsiTheme="minorHAnsi"/>
        </w:rPr>
        <w:t>Obszar rewitalizacji nie może być większy niż 20% powierzchni gminy oraz zamieszkały przez więcej niż 30% liczby mieszkańców gminy. Obszar rewitalizacji może być podzielony na podobszary, w tym podobszary nieposiadające ze sobą wspólnych granic.</w:t>
      </w:r>
    </w:p>
    <w:p w:rsidR="00991BA0" w:rsidRPr="00007D1F" w:rsidRDefault="00991BA0" w:rsidP="00991BA0">
      <w:pPr>
        <w:jc w:val="center"/>
        <w:rPr>
          <w:b/>
          <w:sz w:val="24"/>
          <w:szCs w:val="24"/>
        </w:rPr>
      </w:pPr>
    </w:p>
    <w:p w:rsidR="00991BA0" w:rsidRDefault="00991BA0" w:rsidP="00991BA0">
      <w:pPr>
        <w:jc w:val="center"/>
        <w:rPr>
          <w:b/>
          <w:sz w:val="28"/>
          <w:szCs w:val="28"/>
        </w:rPr>
      </w:pPr>
    </w:p>
    <w:p w:rsidR="00991BA0" w:rsidRDefault="00991BA0" w:rsidP="00991BA0">
      <w:pPr>
        <w:jc w:val="center"/>
        <w:rPr>
          <w:b/>
          <w:sz w:val="28"/>
          <w:szCs w:val="28"/>
        </w:rPr>
      </w:pPr>
      <w:r>
        <w:rPr>
          <w:b/>
          <w:sz w:val="28"/>
          <w:szCs w:val="28"/>
        </w:rPr>
        <w:t xml:space="preserve"> </w:t>
      </w:r>
    </w:p>
    <w:p w:rsidR="00991BA0" w:rsidRDefault="00991BA0" w:rsidP="00270F4D">
      <w:pPr>
        <w:spacing w:after="0"/>
        <w:rPr>
          <w:b/>
          <w:sz w:val="24"/>
          <w:szCs w:val="24"/>
        </w:rPr>
      </w:pPr>
    </w:p>
    <w:p w:rsidR="00991BA0" w:rsidRPr="00991BA0" w:rsidRDefault="00991BA0" w:rsidP="00991BA0">
      <w:pPr>
        <w:spacing w:after="0"/>
        <w:jc w:val="center"/>
        <w:rPr>
          <w:b/>
          <w:sz w:val="24"/>
          <w:szCs w:val="24"/>
        </w:rPr>
      </w:pPr>
    </w:p>
    <w:p w:rsidR="00991BA0" w:rsidRDefault="00991BA0" w:rsidP="00991BA0">
      <w:pPr>
        <w:spacing w:after="0"/>
        <w:jc w:val="center"/>
      </w:pPr>
    </w:p>
    <w:p w:rsidR="00991BA0" w:rsidRDefault="00991BA0" w:rsidP="00991BA0">
      <w:pPr>
        <w:spacing w:after="0"/>
        <w:jc w:val="center"/>
      </w:pPr>
    </w:p>
    <w:sectPr w:rsidR="00991BA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56" w:rsidRDefault="00B46456" w:rsidP="001F5FF5">
      <w:pPr>
        <w:spacing w:after="0" w:line="240" w:lineRule="auto"/>
      </w:pPr>
      <w:r>
        <w:separator/>
      </w:r>
    </w:p>
  </w:endnote>
  <w:endnote w:type="continuationSeparator" w:id="0">
    <w:p w:rsidR="00B46456" w:rsidRDefault="00B46456" w:rsidP="001F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56" w:rsidRDefault="00B46456" w:rsidP="001F5FF5">
      <w:pPr>
        <w:spacing w:after="0" w:line="240" w:lineRule="auto"/>
      </w:pPr>
      <w:r>
        <w:separator/>
      </w:r>
    </w:p>
  </w:footnote>
  <w:footnote w:type="continuationSeparator" w:id="0">
    <w:p w:rsidR="00B46456" w:rsidRDefault="00B46456" w:rsidP="001F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F5" w:rsidRDefault="001F5FF5">
    <w:pPr>
      <w:pStyle w:val="Nagwek"/>
    </w:pPr>
    <w:r>
      <w:rPr>
        <w:noProof/>
        <w:lang w:eastAsia="pl-PL"/>
      </w:rPr>
      <w:drawing>
        <wp:anchor distT="0" distB="0" distL="114300" distR="114300" simplePos="0" relativeHeight="251659264" behindDoc="1" locked="0" layoutInCell="1" allowOverlap="1" wp14:anchorId="4EFFC5A7" wp14:editId="454E7182">
          <wp:simplePos x="0" y="0"/>
          <wp:positionH relativeFrom="column">
            <wp:posOffset>0</wp:posOffset>
          </wp:positionH>
          <wp:positionV relativeFrom="paragraph">
            <wp:posOffset>170815</wp:posOffset>
          </wp:positionV>
          <wp:extent cx="5309701" cy="646981"/>
          <wp:effectExtent l="0" t="0" r="0" b="1270"/>
          <wp:wrapTight wrapText="bothSides">
            <wp:wrapPolygon edited="0">
              <wp:start x="0" y="0"/>
              <wp:lineTo x="0" y="21006"/>
              <wp:lineTo x="21468" y="21006"/>
              <wp:lineTo x="21468" y="0"/>
              <wp:lineTo x="0" y="0"/>
            </wp:wrapPolygon>
          </wp:wrapTight>
          <wp:docPr id="1" name="Obraz 31"/>
          <wp:cNvGraphicFramePr/>
          <a:graphic xmlns:a="http://schemas.openxmlformats.org/drawingml/2006/main">
            <a:graphicData uri="http://schemas.openxmlformats.org/drawingml/2006/picture">
              <pic:pic xmlns:pic="http://schemas.openxmlformats.org/drawingml/2006/picture">
                <pic:nvPicPr>
                  <pic:cNvPr id="32" name="Obraz 31"/>
                  <pic:cNvPicPr/>
                </pic:nvPicPr>
                <pic:blipFill rotWithShape="1">
                  <a:blip r:embed="rId1">
                    <a:extLst>
                      <a:ext uri="{28A0092B-C50C-407E-A947-70E740481C1C}">
                        <a14:useLocalDpi xmlns:a14="http://schemas.microsoft.com/office/drawing/2010/main" val="0"/>
                      </a:ext>
                    </a:extLst>
                  </a:blip>
                  <a:srcRect l="28491" t="51956" r="29398" b="38914"/>
                  <a:stretch/>
                </pic:blipFill>
                <pic:spPr bwMode="auto">
                  <a:xfrm>
                    <a:off x="0" y="0"/>
                    <a:ext cx="5309701" cy="6469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2493"/>
    <w:multiLevelType w:val="hybridMultilevel"/>
    <w:tmpl w:val="EB90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0C41C2"/>
    <w:multiLevelType w:val="hybridMultilevel"/>
    <w:tmpl w:val="CD7CC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412091"/>
    <w:multiLevelType w:val="hybridMultilevel"/>
    <w:tmpl w:val="26CE3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17847D8"/>
    <w:multiLevelType w:val="hybridMultilevel"/>
    <w:tmpl w:val="F4948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34B509D"/>
    <w:multiLevelType w:val="hybridMultilevel"/>
    <w:tmpl w:val="B4188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A0"/>
    <w:rsid w:val="00007D1F"/>
    <w:rsid w:val="001F5FF5"/>
    <w:rsid w:val="00270F4D"/>
    <w:rsid w:val="00295473"/>
    <w:rsid w:val="00316D58"/>
    <w:rsid w:val="003803BA"/>
    <w:rsid w:val="006E5AA8"/>
    <w:rsid w:val="007C28C4"/>
    <w:rsid w:val="00903F69"/>
    <w:rsid w:val="009521FC"/>
    <w:rsid w:val="00991BA0"/>
    <w:rsid w:val="00B46456"/>
    <w:rsid w:val="00C24DA9"/>
    <w:rsid w:val="00D17C36"/>
    <w:rsid w:val="00D44174"/>
    <w:rsid w:val="00DE4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21582-EE62-4FF4-8CB6-E547771C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1BA0"/>
    <w:pPr>
      <w:ind w:left="720"/>
      <w:contextualSpacing/>
    </w:pPr>
  </w:style>
  <w:style w:type="table" w:styleId="Tabela-Siatka">
    <w:name w:val="Table Grid"/>
    <w:basedOn w:val="Standardowy"/>
    <w:uiPriority w:val="39"/>
    <w:rsid w:val="0099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07D1F"/>
    <w:rPr>
      <w:color w:val="0563C1" w:themeColor="hyperlink"/>
      <w:u w:val="single"/>
    </w:rPr>
  </w:style>
  <w:style w:type="paragraph" w:customStyle="1" w:styleId="Default">
    <w:name w:val="Default"/>
    <w:rsid w:val="00007D1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F5F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FF5"/>
  </w:style>
  <w:style w:type="paragraph" w:styleId="Stopka">
    <w:name w:val="footer"/>
    <w:basedOn w:val="Normalny"/>
    <w:link w:val="StopkaZnak"/>
    <w:uiPriority w:val="99"/>
    <w:unhideWhenUsed/>
    <w:rsid w:val="001F5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witalizacja@kalwaria-zebrzydow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Smolik</dc:creator>
  <cp:keywords/>
  <dc:description/>
  <cp:lastModifiedBy>Joanna Smolik</cp:lastModifiedBy>
  <cp:revision>10</cp:revision>
  <dcterms:created xsi:type="dcterms:W3CDTF">2016-11-07T15:45:00Z</dcterms:created>
  <dcterms:modified xsi:type="dcterms:W3CDTF">2016-11-14T15:17:00Z</dcterms:modified>
</cp:coreProperties>
</file>